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2"/>
        <w:tblpPr w:horzAnchor="margin" w:tblpX="7269" w:tblpY="511" w:vertAnchor="page"/>
        <w:tblW w:type="auto" w:w="0"/>
        <w:tblLayout w:type="fixed"/>
        <w:tblCellMar>
          <w:left w:type="dxa" w:w="0"/>
          <w:right w:type="dxa" w:w="0"/>
        </w:tblCellMar>
      </w:tblPr>
      <w:tblGrid>
        <w:gridCol w:w="1581"/>
      </w:tblGrid>
      <w:tr>
        <w:trPr>
          <w:trHeight w:hRule="atLeast" w:val="454"/>
        </w:trPr>
        <w:tc>
          <w:tcPr>
            <w:tcW w:type="dxa" w:w="1581"/>
            <w:tcMar>
              <w:left w:type="dxa" w:w="0"/>
              <w:right w:type="dxa" w:w="0"/>
            </w:tcMar>
          </w:tcPr>
          <w:p w14:paraId="0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64"/>
              </w:rPr>
            </w:pPr>
          </w:p>
        </w:tc>
      </w:tr>
    </w:tbl>
    <w:p w14:paraId="08000000">
      <w:pPr>
        <w:widowControl w:val="0"/>
        <w:tabs>
          <w:tab w:leader="none" w:pos="709" w:val="left"/>
        </w:tabs>
        <w:spacing w:after="0" w:line="240" w:lineRule="auto"/>
        <w:ind w:firstLine="709" w:left="0"/>
        <w:jc w:val="both"/>
        <w:outlineLvl w:val="3"/>
        <w:rPr>
          <w:rFonts w:ascii="Times New Roman" w:hAnsi="Times New Roman"/>
          <w:b w:val="1"/>
          <w:sz w:val="28"/>
        </w:rPr>
      </w:pPr>
    </w:p>
    <w:p w14:paraId="09000000">
      <w:pPr>
        <w:widowControl w:val="0"/>
        <w:tabs>
          <w:tab w:leader="none" w:pos="709" w:val="left"/>
        </w:tabs>
        <w:spacing w:after="0" w:line="240" w:lineRule="auto"/>
        <w:ind w:firstLine="0" w:left="0"/>
        <w:jc w:val="center"/>
        <w:outlineLvl w:val="3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Прокуратур</w:t>
      </w:r>
      <w:r>
        <w:rPr>
          <w:rFonts w:ascii="Times New Roman" w:hAnsi="Times New Roman"/>
          <w:b w:val="1"/>
          <w:sz w:val="28"/>
        </w:rPr>
        <w:t>ой</w:t>
      </w:r>
      <w:r>
        <w:rPr>
          <w:rFonts w:ascii="Times New Roman" w:hAnsi="Times New Roman"/>
          <w:b w:val="1"/>
          <w:sz w:val="28"/>
        </w:rPr>
        <w:t xml:space="preserve"> г. Буйнакска </w:t>
      </w:r>
      <w:r>
        <w:rPr>
          <w:rFonts w:ascii="Times New Roman" w:hAnsi="Times New Roman"/>
          <w:b w:val="1"/>
          <w:sz w:val="28"/>
        </w:rPr>
        <w:t>утверждено обвинительное заключение и направлено</w:t>
      </w:r>
      <w:r>
        <w:rPr>
          <w:rFonts w:ascii="Times New Roman" w:hAnsi="Times New Roman"/>
          <w:b w:val="1"/>
          <w:sz w:val="28"/>
        </w:rPr>
        <w:t xml:space="preserve"> в суд уголовное дело по ч. 3  ст. 159.2  УК РФ</w:t>
      </w:r>
    </w:p>
    <w:p w14:paraId="0A000000">
      <w:pPr>
        <w:widowControl w:val="0"/>
        <w:tabs>
          <w:tab w:leader="none" w:pos="709" w:val="left"/>
        </w:tabs>
        <w:spacing w:after="0" w:line="240" w:lineRule="auto"/>
        <w:ind w:firstLine="709" w:left="0"/>
        <w:jc w:val="both"/>
        <w:outlineLvl w:val="3"/>
        <w:rPr>
          <w:rFonts w:ascii="Times New Roman" w:hAnsi="Times New Roman"/>
          <w:sz w:val="28"/>
        </w:rPr>
      </w:pPr>
    </w:p>
    <w:p w14:paraId="0B000000">
      <w:pPr>
        <w:pStyle w:val="Style_4"/>
        <w:widowControl w:val="0"/>
        <w:spacing w:after="0" w:before="0" w:line="180" w:lineRule="atLeast"/>
        <w:ind w:firstLine="709" w:left="0"/>
        <w:jc w:val="both"/>
        <w:rPr>
          <w:b w:val="0"/>
          <w:sz w:val="28"/>
        </w:rPr>
      </w:pPr>
      <w:r>
        <w:rPr>
          <w:sz w:val="28"/>
        </w:rPr>
        <w:t>П</w:t>
      </w:r>
      <w:r>
        <w:rPr>
          <w:sz w:val="28"/>
        </w:rPr>
        <w:t>рокуратурой города утверждено обвинительное заключение и для рассмотрения по существу направлено в Буйнакский районный</w:t>
      </w:r>
      <w:r>
        <w:rPr>
          <w:sz w:val="28"/>
        </w:rPr>
        <w:t xml:space="preserve"> </w:t>
      </w:r>
      <w:r>
        <w:rPr>
          <w:sz w:val="28"/>
        </w:rPr>
        <w:t xml:space="preserve">суд уголовное дело в отношении </w:t>
      </w:r>
      <w:r>
        <w:rPr>
          <w:sz w:val="28"/>
        </w:rPr>
        <w:t>местного жителя</w:t>
      </w:r>
      <w:r>
        <w:rPr>
          <w:sz w:val="28"/>
        </w:rPr>
        <w:t>, обвиняемого</w:t>
      </w:r>
      <w:r>
        <w:rPr>
          <w:sz w:val="28"/>
        </w:rPr>
        <w:t xml:space="preserve"> </w:t>
      </w:r>
      <w:r>
        <w:rPr>
          <w:sz w:val="28"/>
        </w:rPr>
        <w:t>в совершении преступления, предусмотренного п. «б» ч. 3 ст. 158 УК РФ</w:t>
      </w:r>
      <w:r>
        <w:rPr>
          <w:sz w:val="28"/>
        </w:rPr>
        <w:t xml:space="preserve"> – </w:t>
      </w:r>
      <w:r>
        <w:rPr>
          <w:b w:val="0"/>
          <w:sz w:val="28"/>
        </w:rPr>
        <w:t>кража, то есть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тайное хищение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чужого имущества</w:t>
      </w:r>
      <w:r>
        <w:rPr>
          <w:sz w:val="28"/>
        </w:rPr>
        <w:t xml:space="preserve"> </w:t>
      </w:r>
      <w:r>
        <w:rPr>
          <w:b w:val="0"/>
          <w:sz w:val="28"/>
        </w:rPr>
        <w:t>из</w:t>
      </w:r>
      <w:r>
        <w:rPr>
          <w:b w:val="0"/>
          <w:sz w:val="28"/>
        </w:rPr>
        <w:t xml:space="preserve"> </w:t>
      </w:r>
      <w:r>
        <w:rPr>
          <w:b w:val="0"/>
          <w:strike w:val="0"/>
          <w:color w:val="000000"/>
          <w:sz w:val="28"/>
          <w:u w:color="000000" w:val="none"/>
        </w:rPr>
        <w:t>нефтепровода</w:t>
      </w:r>
      <w:r>
        <w:rPr>
          <w:b w:val="0"/>
          <w:sz w:val="28"/>
        </w:rPr>
        <w:t>, нефтепродуктопровода, газопровода.</w:t>
      </w:r>
    </w:p>
    <w:p w14:paraId="0C000000">
      <w:pPr>
        <w:pStyle w:val="Style_4"/>
        <w:widowControl w:val="0"/>
        <w:spacing w:after="0" w:before="0" w:line="180" w:lineRule="atLeast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становлено</w:t>
      </w:r>
      <w:r>
        <w:rPr>
          <w:rFonts w:ascii="Times New Roman" w:hAnsi="Times New Roman"/>
          <w:sz w:val="28"/>
        </w:rPr>
        <w:t>, что</w:t>
      </w:r>
      <w:r>
        <w:rPr>
          <w:rFonts w:ascii="Times New Roman" w:hAnsi="Times New Roman"/>
          <w:sz w:val="28"/>
        </w:rPr>
        <w:t xml:space="preserve">  обвиняемый незаконно, в тайне от собственника – ООО «Газпром межрегионгаз Махачкала», действуя с прямым умыслом и корыстными побуждениями, </w:t>
      </w:r>
      <w:r>
        <w:rPr>
          <w:rFonts w:ascii="Times New Roman" w:hAnsi="Times New Roman"/>
          <w:sz w:val="28"/>
        </w:rPr>
        <w:t>в период времени с 27.02.2024 по 03.06.2024 и с 03.03.2025 по 10.05.2025</w:t>
      </w:r>
      <w:r>
        <w:rPr>
          <w:rFonts w:ascii="Times New Roman" w:hAnsi="Times New Roman"/>
          <w:sz w:val="28"/>
        </w:rPr>
        <w:t xml:space="preserve"> похитил путем потребления природный газ в результате несанкционированного подключения к газопроводу, на общий объем 6 048,00 куб.м. </w:t>
      </w:r>
    </w:p>
    <w:p w14:paraId="0D000000">
      <w:pPr>
        <w:pStyle w:val="Style_4"/>
        <w:widowControl w:val="0"/>
        <w:spacing w:after="0" w:before="0" w:line="180" w:lineRule="atLeast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 xml:space="preserve">Своими действиями обвиняемый </w:t>
      </w:r>
      <w:r>
        <w:rPr>
          <w:color w:val="000000"/>
          <w:sz w:val="28"/>
        </w:rPr>
        <w:t xml:space="preserve">причинил </w:t>
      </w:r>
      <w:r>
        <w:rPr>
          <w:color w:val="000000"/>
          <w:sz w:val="28"/>
        </w:rPr>
        <w:t>ООО «Газпром межрегионгаз Махачкала» материальный ущерб в размере 101 404 рубля</w:t>
      </w:r>
      <w:r>
        <w:rPr>
          <w:rFonts w:ascii="Times New Roman" w:hAnsi="Times New Roman"/>
          <w:sz w:val="28"/>
        </w:rPr>
        <w:t>.</w:t>
      </w:r>
    </w:p>
    <w:p w14:paraId="0E000000">
      <w:pPr>
        <w:widowControl w:val="0"/>
        <w:tabs>
          <w:tab w:leader="none" w:pos="709" w:val="left"/>
        </w:tabs>
        <w:spacing w:line="240" w:lineRule="auto"/>
        <w:ind w:firstLine="709" w:left="0"/>
        <w:jc w:val="both"/>
        <w:outlineLvl w:val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Санкцией инкриминируемой статьи предусмотрена уголовная ответственность в виде </w:t>
      </w:r>
      <w:r>
        <w:rPr>
          <w:rFonts w:ascii="Times New Roman" w:hAnsi="Times New Roman"/>
          <w:sz w:val="28"/>
        </w:rPr>
        <w:t>лишени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свободы на срок до шести</w:t>
      </w:r>
      <w:r>
        <w:rPr>
          <w:rFonts w:ascii="Times New Roman" w:hAnsi="Times New Roman"/>
          <w:sz w:val="28"/>
        </w:rPr>
        <w:t xml:space="preserve"> лет</w:t>
      </w:r>
      <w:r>
        <w:rPr>
          <w:rFonts w:ascii="Times New Roman" w:hAnsi="Times New Roman"/>
          <w:sz w:val="28"/>
        </w:rPr>
        <w:t>.</w:t>
      </w:r>
    </w:p>
    <w:p w14:paraId="0F000000">
      <w:pPr>
        <w:widowControl w:val="0"/>
        <w:tabs>
          <w:tab w:leader="none" w:pos="2268" w:val="left"/>
          <w:tab w:leader="none" w:pos="6804" w:val="left"/>
        </w:tabs>
        <w:spacing w:after="0" w:line="240" w:lineRule="auto"/>
        <w:ind/>
        <w:rPr>
          <w:rFonts w:ascii="Times New Roman" w:hAnsi="Times New Roman"/>
          <w:sz w:val="28"/>
        </w:rPr>
      </w:pPr>
    </w:p>
    <w:p w14:paraId="10000000">
      <w:pPr>
        <w:widowControl w:val="0"/>
        <w:tabs>
          <w:tab w:leader="none" w:pos="2268" w:val="left"/>
          <w:tab w:leader="none" w:pos="6804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Помощник прокурора города                                                                М.М. Омаров</w:t>
      </w:r>
    </w:p>
    <w:sectPr>
      <w:headerReference r:id="rId1" w:type="default"/>
      <w:headerReference r:id="rId2" w:type="first"/>
      <w:footerReference r:id="rId3" w:type="first"/>
      <w:pgSz w:h="16838" w:orient="portrait" w:w="11906"/>
      <w:pgMar w:bottom="851" w:footer="709" w:gutter="0" w:header="709" w:left="1418" w:right="851" w:top="1276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2"/>
      <w:tblpPr w:horzAnchor="margin" w:tblpXSpec="right" w:tblpYSpec="outside" w:vertAnchor="page"/>
      <w:tblW w:type="auto" w:w="0"/>
      <w:tblBorders>
        <w:top w:color="000000" w:sz="6" w:val="single"/>
        <w:left w:color="000000" w:sz="6" w:val="single"/>
        <w:bottom w:color="000000" w:sz="6" w:val="single"/>
        <w:right w:color="000000" w:sz="6" w:val="single"/>
        <w:insideH w:color="000000" w:sz="6" w:val="single"/>
        <w:insideV w:color="000000" w:sz="6" w:val="single"/>
      </w:tblBorders>
      <w:tblLayout w:type="fixed"/>
      <w:tblCellMar>
        <w:top w:type="dxa" w:w="28"/>
        <w:left w:type="dxa" w:w="28"/>
        <w:bottom w:type="dxa" w:w="28"/>
        <w:right w:type="dxa" w:w="28"/>
      </w:tblCellMar>
    </w:tblPr>
    <w:tblGrid>
      <w:gridCol w:w="3643"/>
    </w:tblGrid>
    <w:tr>
      <w:trPr>
        <w:trHeight w:hRule="atLeast" w:val="57"/>
      </w:trPr>
      <w:tc>
        <w:tcPr>
          <w:tcW w:type="dxa" w:w="3643"/>
          <w:tcBorders>
            <w:top w:color="000000" w:sz="6" w:val="single"/>
            <w:left w:color="000000" w:sz="6" w:val="single"/>
            <w:bottom w:color="000000" w:sz="6" w:val="single"/>
            <w:right w:color="000000" w:sz="6" w:val="single"/>
          </w:tcBorders>
          <w:tcMar>
            <w:top w:type="dxa" w:w="28"/>
            <w:left w:type="dxa" w:w="28"/>
            <w:bottom w:type="dxa" w:w="28"/>
            <w:right w:type="dxa" w:w="28"/>
          </w:tcMar>
        </w:tcPr>
        <w:p w14:paraId="04000000">
          <w:pPr>
            <w:widowControl w:val="0"/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14:paraId="05000000">
          <w:pPr>
            <w:widowControl w:val="0"/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r>
            <w:rPr>
              <w:rFonts w:ascii="Times New Roman" w:hAnsi="Times New Roman"/>
              <w:color w:themeColor="background1" w:themeShade="BF" w:val="BFBFBF"/>
              <w:sz w:val="16"/>
            </w:rPr>
            <w:t>рег.номер</w:t>
          </w:r>
          <w:bookmarkEnd w:id="2"/>
        </w:p>
      </w:tc>
    </w:tr>
  </w:tbl>
  <w:p w14:paraId="06000000">
    <w:pPr>
      <w:pStyle w:val="Style_3"/>
      <w:widowControl w:val="0"/>
      <w:spacing w:after="60"/>
      <w:ind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</w:pPr>
    <w:r>
      <w:t>2</w:t>
    </w: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3" w:type="paragraph">
    <w:name w:val="footer"/>
    <w:basedOn w:val="Style_5"/>
    <w:link w:val="Style_3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3_ch" w:type="character">
    <w:name w:val="footer"/>
    <w:basedOn w:val="Style_5_ch"/>
    <w:link w:val="Style_3"/>
  </w:style>
  <w:style w:styleId="Style_7" w:type="paragraph">
    <w:name w:val="Balloon Text"/>
    <w:basedOn w:val="Style_5"/>
    <w:link w:val="Style_7_ch"/>
    <w:pPr>
      <w:widowControl w:val="0"/>
      <w:spacing w:after="0" w:line="240" w:lineRule="auto"/>
      <w:ind/>
    </w:pPr>
    <w:rPr>
      <w:rFonts w:ascii="Segoe UI" w:hAnsi="Segoe UI"/>
      <w:sz w:val="18"/>
    </w:rPr>
  </w:style>
  <w:style w:styleId="Style_7_ch" w:type="character">
    <w:name w:val="Balloon Text"/>
    <w:basedOn w:val="Style_5_ch"/>
    <w:link w:val="Style_7"/>
    <w:rPr>
      <w:rFonts w:ascii="Segoe UI" w:hAnsi="Segoe UI"/>
      <w:sz w:val="18"/>
    </w:rPr>
  </w:style>
  <w:style w:styleId="Style_8" w:type="paragraph">
    <w:name w:val="toc 4"/>
    <w:next w:val="Style_5"/>
    <w:link w:val="Style_8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5"/>
    <w:link w:val="Style_9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5"/>
    <w:link w:val="Style_12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footnote reference"/>
    <w:basedOn w:val="Style_14"/>
    <w:link w:val="Style_13_ch"/>
    <w:rPr>
      <w:vertAlign w:val="superscript"/>
    </w:rPr>
  </w:style>
  <w:style w:styleId="Style_13_ch" w:type="character">
    <w:name w:val="footnote reference"/>
    <w:basedOn w:val="Style_14_ch"/>
    <w:link w:val="Style_13"/>
    <w:rPr>
      <w:vertAlign w:val="superscript"/>
    </w:rPr>
  </w:style>
  <w:style w:styleId="Style_1" w:type="paragraph">
    <w:name w:val="header"/>
    <w:basedOn w:val="Style_5"/>
    <w:link w:val="Style_1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5_ch"/>
    <w:link w:val="Style_1"/>
  </w:style>
  <w:style w:styleId="Style_15" w:type="paragraph">
    <w:name w:val="Body Text"/>
    <w:basedOn w:val="Style_5"/>
    <w:link w:val="Style_15_ch"/>
    <w:pPr>
      <w:widowControl w:val="0"/>
      <w:spacing w:after="120"/>
      <w:ind/>
    </w:pPr>
  </w:style>
  <w:style w:styleId="Style_15_ch" w:type="character">
    <w:name w:val="Body Text"/>
    <w:basedOn w:val="Style_5_ch"/>
    <w:link w:val="Style_15"/>
  </w:style>
  <w:style w:styleId="Style_16" w:type="paragraph">
    <w:name w:val="toc 3"/>
    <w:next w:val="Style_5"/>
    <w:link w:val="Style_16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4" w:type="paragraph">
    <w:name w:val="Normal (Web)"/>
    <w:basedOn w:val="Style_5"/>
    <w:link w:val="Style_4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4_ch" w:type="character">
    <w:name w:val="Normal (Web)"/>
    <w:basedOn w:val="Style_5_ch"/>
    <w:link w:val="Style_4"/>
    <w:rPr>
      <w:rFonts w:ascii="Times New Roman" w:hAnsi="Times New Roman"/>
      <w:sz w:val="24"/>
    </w:rPr>
  </w:style>
  <w:style w:styleId="Style_17" w:type="paragraph">
    <w:name w:val="heading 5"/>
    <w:next w:val="Style_5"/>
    <w:link w:val="Style_17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5"/>
    <w:link w:val="Style_18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basedOn w:val="Style_5"/>
    <w:link w:val="Style_20_ch"/>
    <w:pPr>
      <w:widowControl w:val="0"/>
      <w:spacing w:after="0" w:line="240" w:lineRule="auto"/>
      <w:ind/>
    </w:pPr>
    <w:rPr>
      <w:sz w:val="20"/>
    </w:rPr>
  </w:style>
  <w:style w:styleId="Style_20_ch" w:type="character">
    <w:name w:val="Footnote"/>
    <w:basedOn w:val="Style_5_ch"/>
    <w:link w:val="Style_20"/>
    <w:rPr>
      <w:sz w:val="20"/>
    </w:rPr>
  </w:style>
  <w:style w:styleId="Style_21" w:type="paragraph">
    <w:name w:val="toc 1"/>
    <w:next w:val="Style_5"/>
    <w:link w:val="Style_21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23" w:type="paragraph">
    <w:name w:val="toc 9"/>
    <w:next w:val="Style_5"/>
    <w:link w:val="Style_23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5"/>
    <w:link w:val="Style_24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No Spacing"/>
    <w:link w:val="Style_25_ch"/>
    <w:pPr>
      <w:widowControl w:val="0"/>
      <w:spacing w:after="0" w:line="240" w:lineRule="auto"/>
      <w:ind/>
    </w:pPr>
  </w:style>
  <w:style w:styleId="Style_25_ch" w:type="character">
    <w:name w:val="No Spacing"/>
    <w:link w:val="Style_25"/>
  </w:style>
  <w:style w:styleId="Style_26" w:type="paragraph">
    <w:name w:val="toc 5"/>
    <w:next w:val="Style_5"/>
    <w:link w:val="Style_26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next w:val="Style_5"/>
    <w:link w:val="Style_27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5"/>
    <w:link w:val="Style_28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5"/>
    <w:link w:val="Style_29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5"/>
    <w:link w:val="Style_30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1" w:type="table">
    <w:name w:val="Table Grid"/>
    <w:basedOn w:val="Style_2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footer3.xml" Type="http://schemas.openxmlformats.org/officeDocument/2006/relationships/foot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2026-06-10T11:08:15Z</dcterms:created>
  <dcterms:modified xsi:type="dcterms:W3CDTF">2026-06-10T11:45:33Z</dcterms:modified>
</cp:coreProperties>
</file>