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tabs>
          <w:tab w:leader="none" w:pos="709" w:val="left"/>
          <w:tab w:leader="none" w:pos="4995" w:val="left"/>
        </w:tabs>
        <w:spacing w:after="0" w:line="240" w:lineRule="auto"/>
        <w:ind w:right="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2.        </w:t>
      </w:r>
      <w:r>
        <w:rPr>
          <w:rFonts w:ascii="Times New Roman" w:hAnsi="Times New Roman"/>
          <w:spacing w:val="3"/>
          <w:sz w:val="28"/>
          <w:highlight w:val="white"/>
        </w:rPr>
        <w:t>Прокуратурой г. Буйнакска в рамках надзорной деятельности в аптечной организации ООО «Шура»,</w:t>
      </w:r>
      <w:r>
        <w:rPr>
          <w:rFonts w:ascii="Times New Roman" w:hAnsi="Times New Roman"/>
          <w:spacing w:val="3"/>
          <w:sz w:val="28"/>
          <w:highlight w:val="white"/>
        </w:rPr>
        <w:t xml:space="preserve"> проведена проверка исполнения </w:t>
      </w:r>
      <w:r>
        <w:rPr>
          <w:rFonts w:ascii="Times New Roman" w:hAnsi="Times New Roman"/>
          <w:spacing w:val="3"/>
          <w:sz w:val="28"/>
          <w:highlight w:val="white"/>
        </w:rPr>
        <w:t xml:space="preserve">требований законодательства </w:t>
      </w:r>
      <w:r>
        <w:rPr>
          <w:rFonts w:ascii="Times New Roman" w:hAnsi="Times New Roman"/>
          <w:sz w:val="28"/>
        </w:rPr>
        <w:t>в сфере обращения лекарственных средств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законодательства об основах охраны здоровья граждан в РФ</w:t>
      </w:r>
      <w:r>
        <w:rPr>
          <w:rFonts w:ascii="Times New Roman" w:hAnsi="Times New Roman"/>
          <w:sz w:val="28"/>
        </w:rPr>
        <w:t>.</w:t>
      </w:r>
    </w:p>
    <w:p w14:paraId="0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3"/>
          <w:sz w:val="28"/>
          <w:highlight w:val="white"/>
        </w:rPr>
        <w:t xml:space="preserve">В нарушении  </w:t>
      </w:r>
      <w:r>
        <w:rPr>
          <w:rFonts w:ascii="Times New Roman" w:hAnsi="Times New Roman"/>
          <w:sz w:val="28"/>
        </w:rPr>
        <w:t xml:space="preserve"> требований части 6 статьи 55 </w:t>
      </w:r>
      <w:r>
        <w:rPr>
          <w:rFonts w:ascii="Times New Roman" w:hAnsi="Times New Roman"/>
          <w:sz w:val="28"/>
        </w:rPr>
        <w:t>Федерального закона от 12.04.2010</w:t>
      </w:r>
      <w:r>
        <w:rPr>
          <w:rFonts w:ascii="Times New Roman" w:hAnsi="Times New Roman"/>
          <w:sz w:val="28"/>
        </w:rPr>
        <w:t xml:space="preserve"> № 61</w:t>
      </w:r>
      <w:r>
        <w:rPr>
          <w:rFonts w:ascii="Times New Roman" w:hAnsi="Times New Roman"/>
          <w:sz w:val="28"/>
        </w:rPr>
        <w:t xml:space="preserve"> «Об обращении лекарственных средств»</w:t>
      </w:r>
      <w:r>
        <w:rPr>
          <w:rFonts w:ascii="Times New Roman" w:hAnsi="Times New Roman"/>
          <w:sz w:val="28"/>
        </w:rPr>
        <w:t xml:space="preserve"> в </w:t>
      </w:r>
      <w:r>
        <w:rPr>
          <w:rFonts w:ascii="Times New Roman" w:hAnsi="Times New Roman"/>
          <w:sz w:val="28"/>
        </w:rPr>
        <w:t xml:space="preserve">ФГИС МДЛП </w:t>
      </w:r>
      <w:r>
        <w:rPr>
          <w:rFonts w:ascii="Times New Roman" w:hAnsi="Times New Roman"/>
          <w:sz w:val="28"/>
        </w:rPr>
        <w:t>аптечной организацией</w:t>
      </w:r>
      <w:r>
        <w:rPr>
          <w:rFonts w:ascii="Times New Roman" w:hAnsi="Times New Roman"/>
          <w:sz w:val="28"/>
        </w:rPr>
        <w:t xml:space="preserve"> не внесены сведения о лекарственных препаратах </w:t>
      </w:r>
      <w:r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z w:val="28"/>
        </w:rPr>
        <w:t xml:space="preserve">международным непатентованным </w:t>
      </w:r>
      <w:r>
        <w:rPr>
          <w:rFonts w:ascii="Times New Roman" w:hAnsi="Times New Roman"/>
          <w:sz w:val="28"/>
        </w:rPr>
        <w:t>наименованиям,</w:t>
      </w:r>
      <w:r>
        <w:rPr>
          <w:rFonts w:ascii="Times New Roman" w:hAnsi="Times New Roman"/>
          <w:sz w:val="28"/>
        </w:rPr>
        <w:t xml:space="preserve"> необходимых для оказания медицинской помощи в соответствии с пунктом 1 Приложения № 4 Распоряжения Правительства РФ от 12.10.2019 № 2406-р «Об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помощи»</w:t>
      </w:r>
      <w:r>
        <w:rPr>
          <w:rFonts w:ascii="Times New Roman" w:hAnsi="Times New Roman"/>
          <w:spacing w:val="3"/>
          <w:sz w:val="28"/>
          <w:highlight w:val="white"/>
        </w:rPr>
        <w:t xml:space="preserve">. </w:t>
      </w:r>
    </w:p>
    <w:p w14:paraId="0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3"/>
          <w:sz w:val="28"/>
          <w:highlight w:val="white"/>
        </w:rPr>
        <w:t xml:space="preserve">Кроме этого, </w:t>
      </w:r>
      <w:r>
        <w:rPr>
          <w:rFonts w:ascii="Times New Roman" w:hAnsi="Times New Roman"/>
          <w:sz w:val="28"/>
        </w:rPr>
        <w:t xml:space="preserve">в нарушении </w:t>
      </w:r>
      <w:r>
        <w:rPr>
          <w:rFonts w:ascii="Times New Roman" w:hAnsi="Times New Roman"/>
          <w:sz w:val="28"/>
        </w:rPr>
        <w:t xml:space="preserve">статьи 91.1 Федерального закона                                    от 21.11.2011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323-ФЗ «Об основах охраны здоровья граждан в Российской Федерации» и подпункта «р» пункта 6 Постановления Правительства РФ                  «Об утверждении Положения о лицензировании фармацевтической деятельности» от 31.03.2022 № 547, аптечной организацией, осуществляющей фармацевтическую деятельность, не внесены сведения в систему ФРМО и ФРМР, в то время как, на лицензиатов, осуществляющих фармацевтическую деятельность</w:t>
      </w:r>
      <w:r>
        <w:rPr>
          <w:rFonts w:ascii="Times New Roman" w:hAnsi="Times New Roman"/>
          <w:sz w:val="28"/>
        </w:rPr>
        <w:t xml:space="preserve">, возложена обязанность размещения в </w:t>
      </w:r>
      <w:r>
        <w:rPr>
          <w:rFonts w:ascii="Times New Roman" w:hAnsi="Times New Roman"/>
          <w:sz w:val="28"/>
        </w:rPr>
        <w:t xml:space="preserve">единую государственную информационную систему в сфере здравоохранения (далее – ЕГИСЗ) сведений о фармацевтической организации. </w:t>
      </w:r>
    </w:p>
    <w:p w14:paraId="0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сведениям </w:t>
      </w:r>
      <w:r>
        <w:rPr>
          <w:rFonts w:ascii="Times New Roman" w:hAnsi="Times New Roman"/>
          <w:sz w:val="28"/>
        </w:rPr>
        <w:t>ФГИС МДЛП</w:t>
      </w:r>
      <w:r>
        <w:rPr>
          <w:rFonts w:ascii="Times New Roman" w:hAnsi="Times New Roman"/>
          <w:sz w:val="28"/>
        </w:rPr>
        <w:t xml:space="preserve"> в аптечной организации</w:t>
      </w:r>
      <w:r>
        <w:rPr>
          <w:rFonts w:ascii="Times New Roman" w:hAnsi="Times New Roman"/>
          <w:sz w:val="28"/>
        </w:rPr>
        <w:t xml:space="preserve"> числятся 1 585 лекарственных препаратов с истекшим сроком годности.</w:t>
      </w:r>
    </w:p>
    <w:p w14:paraId="0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Кроме того, в ходе проведенной проверки установлено, что в нарушении требований п. 3 ст. 58.1 Закона № 61 и пункта </w:t>
      </w:r>
      <w:r>
        <w:rPr>
          <w:rFonts w:ascii="Times New Roman" w:hAnsi="Times New Roman"/>
          <w:sz w:val="28"/>
        </w:rPr>
        <w:t>12</w:t>
      </w:r>
      <w:r>
        <w:rPr>
          <w:rFonts w:ascii="Times New Roman" w:hAnsi="Times New Roman"/>
          <w:sz w:val="28"/>
        </w:rPr>
        <w:t xml:space="preserve"> Приказ № 706н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Об утверждении Правил хранения лекарственных средств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лекарственны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препарат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в количестве 1 585 </w:t>
      </w:r>
      <w:r>
        <w:rPr>
          <w:rFonts w:ascii="Times New Roman" w:hAnsi="Times New Roman"/>
          <w:sz w:val="28"/>
        </w:rPr>
        <w:t xml:space="preserve"> упаков</w:t>
      </w:r>
      <w:r>
        <w:rPr>
          <w:rFonts w:ascii="Times New Roman" w:hAnsi="Times New Roman"/>
          <w:sz w:val="28"/>
        </w:rPr>
        <w:t>ок с истекшим сроком годности</w:t>
      </w:r>
      <w:r>
        <w:rPr>
          <w:rFonts w:ascii="Times New Roman" w:hAnsi="Times New Roman"/>
          <w:sz w:val="28"/>
        </w:rPr>
        <w:t>, наход</w:t>
      </w:r>
      <w:r>
        <w:rPr>
          <w:rFonts w:ascii="Times New Roman" w:hAnsi="Times New Roman"/>
          <w:sz w:val="28"/>
        </w:rPr>
        <w:t>ящиеся</w:t>
      </w:r>
      <w:r>
        <w:rPr>
          <w:rFonts w:ascii="Times New Roman" w:hAnsi="Times New Roman"/>
          <w:sz w:val="28"/>
        </w:rPr>
        <w:t xml:space="preserve"> в обороте аптечной организации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не </w:t>
      </w:r>
      <w:r>
        <w:rPr>
          <w:rFonts w:ascii="Times New Roman" w:hAnsi="Times New Roman"/>
          <w:sz w:val="28"/>
        </w:rPr>
        <w:t>хран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тся </w:t>
      </w:r>
      <w:r>
        <w:rPr>
          <w:rFonts w:ascii="Times New Roman" w:hAnsi="Times New Roman"/>
          <w:sz w:val="28"/>
        </w:rPr>
        <w:t>в карантинной зоне</w:t>
      </w:r>
      <w:r>
        <w:rPr>
          <w:rFonts w:ascii="Times New Roman" w:hAnsi="Times New Roman"/>
          <w:sz w:val="28"/>
        </w:rPr>
        <w:t xml:space="preserve">, при этом </w:t>
      </w:r>
      <w:r>
        <w:rPr>
          <w:rFonts w:ascii="Times New Roman" w:hAnsi="Times New Roman"/>
          <w:sz w:val="28"/>
        </w:rPr>
        <w:t>карантинная зона в аптечной организации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отсутствует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журнал </w:t>
      </w:r>
      <w:r>
        <w:rPr>
          <w:rFonts w:ascii="Times New Roman" w:hAnsi="Times New Roman"/>
          <w:sz w:val="28"/>
        </w:rPr>
        <w:t>предметно-количественн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учет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лекарственных средств</w:t>
      </w:r>
      <w:r>
        <w:rPr>
          <w:rFonts w:ascii="Times New Roman" w:hAnsi="Times New Roman"/>
          <w:sz w:val="28"/>
        </w:rPr>
        <w:t xml:space="preserve"> в аптечном пункте не ведется</w:t>
      </w:r>
      <w:r>
        <w:rPr>
          <w:rFonts w:ascii="Times New Roman" w:hAnsi="Times New Roman"/>
          <w:sz w:val="28"/>
        </w:rPr>
        <w:t>.</w:t>
      </w:r>
    </w:p>
    <w:p w14:paraId="06000000">
      <w:pPr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 xml:space="preserve"> По результатам проверки, генеральной директор ООО «Шура» привлечен к административной ответственности в виде административного штрафа в размере 5 000 рублей  по  </w:t>
      </w:r>
      <w:r>
        <w:rPr>
          <w:rFonts w:ascii="Times New Roman" w:hAnsi="Times New Roman"/>
          <w:sz w:val="28"/>
        </w:rPr>
        <w:t xml:space="preserve">ч. 2 ст. 6.34 </w:t>
      </w:r>
      <w:r>
        <w:rPr>
          <w:rFonts w:ascii="Times New Roman" w:hAnsi="Times New Roman"/>
          <w:sz w:val="28"/>
        </w:rPr>
        <w:t>КоАП РФ</w:t>
      </w:r>
      <w:r>
        <w:rPr>
          <w:rFonts w:ascii="Times New Roman" w:hAnsi="Times New Roman"/>
          <w:sz w:val="28"/>
        </w:rPr>
        <w:t xml:space="preserve"> и административный штраф в размере              5 000 рублей по ч.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3 ст. 14.1 КоАП РФ, а также внесено представление, которое рассмотрено и удовлетворено.</w:t>
      </w:r>
    </w:p>
    <w:p w14:paraId="07000000">
      <w:pPr>
        <w:tabs>
          <w:tab w:leader="none" w:pos="709" w:val="left"/>
          <w:tab w:leader="none" w:pos="4995" w:val="left"/>
        </w:tabs>
        <w:spacing w:after="0" w:line="240" w:lineRule="exact"/>
        <w:ind w:right="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</w:t>
      </w:r>
    </w:p>
    <w:p w14:paraId="08000000">
      <w:pPr>
        <w:tabs>
          <w:tab w:leader="none" w:pos="709" w:val="left"/>
          <w:tab w:leader="none" w:pos="4995" w:val="left"/>
        </w:tabs>
        <w:spacing w:after="0" w:line="240" w:lineRule="exact"/>
        <w:ind w:right="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</w:t>
      </w:r>
    </w:p>
    <w:p w14:paraId="09000000">
      <w:pPr>
        <w:tabs>
          <w:tab w:leader="none" w:pos="709" w:val="left"/>
          <w:tab w:leader="none" w:pos="4995" w:val="left"/>
        </w:tabs>
        <w:spacing w:after="0" w:line="240" w:lineRule="exact"/>
        <w:ind w:right="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</w:p>
    <w:p w14:paraId="0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Помощник прокурора города                                 Абдуллаева Б.У.</w:t>
      </w:r>
    </w:p>
    <w:p w14:paraId="0B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</w:p>
    <w:p w14:paraId="0C000000">
      <w:pPr>
        <w:tabs>
          <w:tab w:leader="none" w:pos="709" w:val="left"/>
          <w:tab w:leader="none" w:pos="4820" w:val="left"/>
          <w:tab w:leader="none" w:pos="9639" w:val="left"/>
        </w:tabs>
        <w:spacing w:after="200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</w:p>
    <w:p w14:paraId="0D000000">
      <w:pPr>
        <w:tabs>
          <w:tab w:leader="none" w:pos="709" w:val="left"/>
          <w:tab w:leader="none" w:pos="4820" w:val="left"/>
          <w:tab w:leader="none" w:pos="9639" w:val="left"/>
        </w:tabs>
        <w:spacing w:after="200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</w:p>
    <w:p w14:paraId="0E000000">
      <w:pPr>
        <w:pStyle w:val="Style_1"/>
        <w:spacing w:after="0" w:before="0" w:line="288" w:lineRule="atLeast"/>
        <w:ind/>
        <w:jc w:val="both"/>
        <w:rPr>
          <w:sz w:val="20"/>
        </w:rPr>
      </w:pPr>
    </w:p>
    <w:p w14:paraId="0F000000">
      <w:pPr>
        <w:pStyle w:val="Style_1"/>
        <w:tabs>
          <w:tab w:leader="none" w:pos="426" w:val="left"/>
          <w:tab w:leader="none" w:pos="709" w:val="left"/>
        </w:tabs>
        <w:spacing w:after="0" w:before="0" w:line="288" w:lineRule="atLeast"/>
        <w:ind/>
        <w:jc w:val="both"/>
        <w:rPr>
          <w:sz w:val="20"/>
        </w:rPr>
      </w:pPr>
    </w:p>
    <w:sectPr>
      <w:pgSz w:h="16838" w:orient="portrait" w:w="11906"/>
      <w:pgMar w:bottom="426" w:footer="708" w:gutter="0" w:header="708" w:left="1418" w:right="56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No Spacing"/>
    <w:link w:val="Style_6_ch"/>
    <w:pPr>
      <w:spacing w:after="0" w:line="240" w:lineRule="auto"/>
      <w:ind/>
    </w:pPr>
  </w:style>
  <w:style w:styleId="Style_6_ch" w:type="character">
    <w:name w:val="No Spacing"/>
    <w:link w:val="Style_6"/>
  </w:style>
  <w:style w:styleId="Style_7" w:type="paragraph">
    <w:name w:val="toc 6"/>
    <w:next w:val="Style_2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List Paragraph"/>
    <w:basedOn w:val="Style_2"/>
    <w:link w:val="Style_11_ch"/>
    <w:pPr>
      <w:ind w:firstLine="0" w:left="720"/>
      <w:contextualSpacing w:val="1"/>
    </w:pPr>
  </w:style>
  <w:style w:styleId="Style_11_ch" w:type="character">
    <w:name w:val="List Paragraph"/>
    <w:basedOn w:val="Style_2_ch"/>
    <w:link w:val="Style_11"/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Balloon Text"/>
    <w:basedOn w:val="Style_2"/>
    <w:link w:val="Style_19_ch"/>
    <w:pPr>
      <w:spacing w:after="0" w:line="240" w:lineRule="auto"/>
      <w:ind/>
    </w:pPr>
    <w:rPr>
      <w:rFonts w:ascii="Tahoma" w:hAnsi="Tahoma"/>
      <w:sz w:val="16"/>
    </w:rPr>
  </w:style>
  <w:style w:styleId="Style_19_ch" w:type="character">
    <w:name w:val="Balloon Text"/>
    <w:basedOn w:val="Style_2_ch"/>
    <w:link w:val="Style_19"/>
    <w:rPr>
      <w:rFonts w:ascii="Tahoma" w:hAnsi="Tahoma"/>
      <w:sz w:val="16"/>
    </w:rPr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2025-10-23T06:48:00Z</dcterms:modified>
</cp:coreProperties>
</file>