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b w:val="1"/>
          <w:sz w:val="27"/>
        </w:rPr>
      </w:pPr>
      <w:r>
        <w:rPr>
          <w:b w:val="1"/>
          <w:sz w:val="28"/>
        </w:rPr>
        <w:t>Прокуратурой г. Буйнакска проведена проверка исполнения требований законодательства по обеспечению АТЗ</w:t>
      </w:r>
    </w:p>
    <w:p w14:paraId="02000000">
      <w:pPr>
        <w:pStyle w:val="Style_1"/>
        <w:widowControl w:val="1"/>
        <w:ind/>
        <w:jc w:val="both"/>
        <w:rPr>
          <w:sz w:val="28"/>
        </w:rPr>
      </w:pPr>
    </w:p>
    <w:p w14:paraId="03000000">
      <w:pPr>
        <w:widowControl w:val="0"/>
        <w:ind w:firstLine="709" w:left="0" w:right="-143"/>
        <w:jc w:val="both"/>
        <w:rPr>
          <w:sz w:val="28"/>
        </w:rPr>
      </w:pPr>
      <w:r>
        <w:rPr>
          <w:sz w:val="28"/>
        </w:rPr>
        <w:t xml:space="preserve">Прокуратурой г. Буйнакска на основании обращения жителя города </w:t>
      </w:r>
      <w:r>
        <w:rPr>
          <w:sz w:val="28"/>
        </w:rPr>
        <w:br/>
      </w:r>
      <w:r>
        <w:rPr>
          <w:sz w:val="28"/>
        </w:rPr>
        <w:t>с привлечением специалистов МОВО по г. Буйнакску – филиала ФГКУ «УВО ВНГ России по Республике Дагестан» проведена проверка исполнения требований законодательства по обеспечению антитеррористической защищенности в</w:t>
      </w:r>
      <w:r>
        <w:rPr>
          <w:rFonts w:ascii="Times New Roman" w:hAnsi="Times New Roman"/>
          <w:sz w:val="28"/>
        </w:rPr>
        <w:t xml:space="preserve">  одном из образовательных учреждение города</w:t>
      </w:r>
      <w:r>
        <w:rPr>
          <w:sz w:val="28"/>
        </w:rPr>
        <w:t>.</w:t>
      </w:r>
    </w:p>
    <w:p w14:paraId="04000000">
      <w:pPr>
        <w:widowControl w:val="0"/>
        <w:ind w:firstLine="709" w:left="0" w:right="-143"/>
        <w:jc w:val="both"/>
        <w:rPr>
          <w:color w:themeColor="text1" w:val="000000"/>
          <w:sz w:val="28"/>
        </w:rPr>
      </w:pPr>
      <w:r>
        <w:rPr>
          <w:sz w:val="28"/>
        </w:rPr>
        <w:t xml:space="preserve">В ходе проверки Учреждения установлено, что в нарушение ФЗ </w:t>
      </w:r>
      <w:r>
        <w:rPr>
          <w:sz w:val="28"/>
        </w:rPr>
        <w:br/>
      </w:r>
      <w:r>
        <w:rPr>
          <w:sz w:val="28"/>
        </w:rPr>
        <w:t>«О противодействии терроризму» от 06.03.2006 № 35 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 и формы паспорта безопасности этих объектов, утвержденные Постановлением Правительства Российской Федерации от 13.01.2017 № 8 (далее – Требования), в учреждении не обеспечивается защита служебной информации ограниченного распространения, содержащейся в паспорте безопасности объекта (территории) иных документах и на других материальных носителях информации,</w:t>
      </w:r>
      <w:r>
        <w:rPr>
          <w:sz w:val="28"/>
        </w:rPr>
        <w:t xml:space="preserve"> не организовано взаимодействие с территориальными органами безопасности, отсутствует журнал инструктажей, не проводятся учения, тренировки по безопасной и своевременной эвакуации работников и посетителей объекта из зданий, не разработан порядок действий работников объекта при получении подозрительных почтовых отправлений и иные нарушения. </w:t>
      </w:r>
    </w:p>
    <w:p w14:paraId="05000000">
      <w:pPr>
        <w:pStyle w:val="Style_1"/>
        <w:widowControl w:val="1"/>
        <w:ind w:firstLine="709"/>
        <w:jc w:val="both"/>
        <w:rPr>
          <w:b w:val="1"/>
          <w:sz w:val="27"/>
        </w:rPr>
      </w:pPr>
      <w:r>
        <w:rPr>
          <w:sz w:val="28"/>
        </w:rPr>
        <w:t>По результатам проверки директору учреждения внесено представление, а также вынесено постановление о возбуждении дела об административном правонарушении по ч.1 ст. 20.35 КоАП РФ, которое для рассмотрения направлено мировому судье г. Буйнакска.</w:t>
      </w:r>
    </w:p>
    <w:p w14:paraId="06000000">
      <w:pPr>
        <w:pStyle w:val="Style_1"/>
        <w:widowControl w:val="1"/>
        <w:ind/>
        <w:jc w:val="both"/>
        <w:rPr>
          <w:sz w:val="28"/>
        </w:rPr>
      </w:pPr>
    </w:p>
    <w:p w14:paraId="07000000">
      <w:pPr>
        <w:pStyle w:val="Style_1"/>
        <w:widowControl w:val="1"/>
        <w:ind/>
        <w:jc w:val="both"/>
        <w:rPr>
          <w:sz w:val="28"/>
        </w:rPr>
      </w:pPr>
    </w:p>
    <w:p w14:paraId="08000000">
      <w:pPr>
        <w:pStyle w:val="Style_1"/>
        <w:widowControl w:val="1"/>
        <w:ind/>
        <w:jc w:val="both"/>
        <w:rPr>
          <w:sz w:val="28"/>
        </w:rPr>
      </w:pPr>
      <w:r>
        <w:rPr>
          <w:sz w:val="28"/>
        </w:rPr>
        <w:t>Помощник прокурора г. Буйнакска                                                     М.М. Абдулазизов</w:t>
      </w:r>
    </w:p>
    <w:p w14:paraId="09000000">
      <w:pPr>
        <w:pStyle w:val="Style_1"/>
        <w:widowControl w:val="1"/>
        <w:ind/>
        <w:jc w:val="both"/>
        <w:rPr>
          <w:sz w:val="27"/>
        </w:rPr>
      </w:pPr>
    </w:p>
    <w:p w14:paraId="0A000000">
      <w:pPr>
        <w:pStyle w:val="Style_1"/>
        <w:widowControl w:val="1"/>
        <w:ind/>
        <w:jc w:val="both"/>
        <w:rPr>
          <w:sz w:val="27"/>
        </w:rPr>
      </w:pPr>
    </w:p>
    <w:p w14:paraId="0B000000">
      <w:pPr>
        <w:pStyle w:val="Style_1"/>
        <w:widowControl w:val="1"/>
        <w:ind/>
        <w:jc w:val="both"/>
        <w:rPr>
          <w:sz w:val="27"/>
        </w:rPr>
      </w:pPr>
    </w:p>
    <w:p w14:paraId="0C000000">
      <w:pPr>
        <w:pStyle w:val="Style_1"/>
        <w:widowControl w:val="1"/>
        <w:ind/>
        <w:jc w:val="both"/>
        <w:rPr>
          <w:sz w:val="27"/>
        </w:rPr>
      </w:pPr>
    </w:p>
    <w:p w14:paraId="0D000000">
      <w:pPr>
        <w:pStyle w:val="Style_1"/>
        <w:widowControl w:val="1"/>
        <w:ind/>
        <w:jc w:val="both"/>
        <w:rPr>
          <w:sz w:val="27"/>
        </w:rPr>
      </w:pPr>
    </w:p>
    <w:p w14:paraId="0E000000">
      <w:pPr>
        <w:pStyle w:val="Style_1"/>
        <w:widowControl w:val="1"/>
        <w:ind/>
        <w:jc w:val="both"/>
        <w:rPr>
          <w:sz w:val="27"/>
        </w:rPr>
      </w:pPr>
    </w:p>
    <w:p w14:paraId="0F000000">
      <w:pPr>
        <w:pStyle w:val="Style_1"/>
        <w:widowControl w:val="1"/>
        <w:ind/>
        <w:jc w:val="both"/>
        <w:rPr>
          <w:sz w:val="27"/>
        </w:rPr>
      </w:pPr>
    </w:p>
    <w:p w14:paraId="10000000">
      <w:pPr>
        <w:pStyle w:val="Style_1"/>
        <w:widowControl w:val="1"/>
        <w:ind/>
        <w:jc w:val="both"/>
        <w:rPr>
          <w:sz w:val="27"/>
        </w:rPr>
      </w:pPr>
    </w:p>
    <w:p w14:paraId="11000000">
      <w:pPr>
        <w:pStyle w:val="Style_1"/>
        <w:widowControl w:val="1"/>
        <w:ind/>
        <w:jc w:val="both"/>
        <w:rPr>
          <w:sz w:val="27"/>
        </w:rPr>
      </w:pPr>
    </w:p>
    <w:p w14:paraId="12000000">
      <w:pPr>
        <w:pStyle w:val="Style_1"/>
        <w:widowControl w:val="1"/>
        <w:ind/>
        <w:jc w:val="both"/>
        <w:rPr>
          <w:sz w:val="27"/>
        </w:rPr>
      </w:pPr>
    </w:p>
    <w:p w14:paraId="13000000">
      <w:pPr>
        <w:pStyle w:val="Style_1"/>
        <w:widowControl w:val="1"/>
        <w:ind/>
        <w:jc w:val="both"/>
        <w:rPr>
          <w:sz w:val="27"/>
        </w:rPr>
      </w:pPr>
    </w:p>
    <w:p w14:paraId="14000000">
      <w:pPr>
        <w:pStyle w:val="Style_1"/>
        <w:widowControl w:val="1"/>
        <w:ind/>
        <w:jc w:val="both"/>
        <w:rPr>
          <w:sz w:val="22"/>
        </w:rPr>
      </w:pPr>
    </w:p>
    <w:sectPr>
      <w:pgSz w:h="16838" w:orient="portrait" w:w="11906"/>
      <w:pgMar w:bottom="709" w:footer="709" w:gutter="0" w:header="709" w:left="1418" w:right="70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Заголовок статьи"/>
    <w:basedOn w:val="Style_2"/>
    <w:next w:val="Style_2"/>
    <w:link w:val="Style_4_ch"/>
    <w:pPr>
      <w:widowControl w:val="1"/>
      <w:ind w:hanging="892" w:left="1612"/>
      <w:jc w:val="both"/>
    </w:pPr>
    <w:rPr>
      <w:rFonts w:ascii="Arial" w:hAnsi="Arial"/>
      <w:sz w:val="26"/>
    </w:rPr>
  </w:style>
  <w:style w:styleId="Style_4_ch" w:type="character">
    <w:name w:val="Заголовок статьи"/>
    <w:basedOn w:val="Style_2_ch"/>
    <w:link w:val="Style_4"/>
    <w:rPr>
      <w:rFonts w:ascii="Arial" w:hAnsi="Arial"/>
      <w:sz w:val="26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pPr>
      <w:widowControl w:val="1"/>
      <w:spacing w:afterAutospacing="on" w:beforeAutospacing="on"/>
      <w:ind/>
    </w:pPr>
  </w:style>
  <w:style w:styleId="Style_10_ch" w:type="character">
    <w:name w:val="Normal (Web)"/>
    <w:basedOn w:val="Style_2_ch"/>
    <w:link w:val="Style_10"/>
  </w:style>
  <w:style w:styleId="Style_11" w:type="paragraph">
    <w:name w:val="Основной текст (2)"/>
    <w:basedOn w:val="Style_2"/>
    <w:link w:val="Style_11_ch"/>
    <w:pPr>
      <w:widowControl w:val="0"/>
      <w:spacing w:after="240" w:before="60" w:line="307" w:lineRule="exact"/>
      <w:ind/>
    </w:pPr>
    <w:rPr>
      <w:sz w:val="26"/>
    </w:rPr>
  </w:style>
  <w:style w:styleId="Style_11_ch" w:type="character">
    <w:name w:val="Основной текст (2)"/>
    <w:basedOn w:val="Style_2_ch"/>
    <w:link w:val="Style_11"/>
    <w:rPr>
      <w:sz w:val="26"/>
    </w:rPr>
  </w:style>
  <w:style w:styleId="Style_12" w:type="paragraph">
    <w:name w:val="Основной текст (6)"/>
    <w:basedOn w:val="Style_2"/>
    <w:link w:val="Style_12_ch"/>
    <w:pPr>
      <w:widowControl w:val="0"/>
      <w:spacing w:after="240" w:line="307" w:lineRule="exact"/>
      <w:ind/>
      <w:jc w:val="center"/>
    </w:pPr>
    <w:rPr>
      <w:b w:val="1"/>
      <w:sz w:val="26"/>
    </w:rPr>
  </w:style>
  <w:style w:styleId="Style_12_ch" w:type="character">
    <w:name w:val="Основной текст (6)"/>
    <w:basedOn w:val="Style_2_ch"/>
    <w:link w:val="Style_12"/>
    <w:rPr>
      <w:b w:val="1"/>
      <w:sz w:val="26"/>
    </w:rPr>
  </w:style>
  <w:style w:styleId="Style_13" w:type="paragraph">
    <w:name w:val="Основной текст (2) + 12 pt;Интервал 1 pt"/>
    <w:link w:val="Style_13_ch"/>
    <w:rPr>
      <w:rFonts w:ascii="Times New Roman" w:hAnsi="Times New Roman"/>
      <w:b w:val="1"/>
      <w:color w:val="000000"/>
      <w:spacing w:val="20"/>
      <w:sz w:val="24"/>
      <w:u w:val="none"/>
    </w:rPr>
  </w:style>
  <w:style w:styleId="Style_13_ch" w:type="character">
    <w:name w:val="Основной текст (2) + 12 pt;Интервал 1 pt"/>
    <w:link w:val="Style_13"/>
    <w:rPr>
      <w:rFonts w:ascii="Times New Roman" w:hAnsi="Times New Roman"/>
      <w:b w:val="1"/>
      <w:color w:val="000000"/>
      <w:spacing w:val="20"/>
      <w:sz w:val="24"/>
      <w:u w:val="none"/>
    </w:rPr>
  </w:style>
  <w:style w:styleId="Style_14" w:type="paragraph">
    <w:name w:val="toc 3"/>
    <w:next w:val="Style_2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2"/>
    <w:link w:val="Style_15_ch"/>
    <w:rPr>
      <w:rFonts w:ascii="Tahoma" w:hAnsi="Tahoma"/>
      <w:sz w:val="16"/>
    </w:rPr>
  </w:style>
  <w:style w:styleId="Style_15_ch" w:type="character">
    <w:name w:val="Balloon Text"/>
    <w:basedOn w:val="Style_2_ch"/>
    <w:link w:val="Style_15"/>
    <w:rPr>
      <w:rFonts w:ascii="Tahoma" w:hAnsi="Tahoma"/>
      <w:sz w:val="16"/>
    </w:rPr>
  </w:style>
  <w:style w:styleId="Style_16" w:type="paragraph">
    <w:name w:val="Комментарий"/>
    <w:basedOn w:val="Style_2"/>
    <w:next w:val="Style_2"/>
    <w:link w:val="Style_16_ch"/>
    <w:pPr>
      <w:widowControl w:val="1"/>
      <w:ind w:left="170"/>
      <w:jc w:val="both"/>
    </w:pPr>
    <w:rPr>
      <w:rFonts w:ascii="Arial" w:hAnsi="Arial"/>
      <w:i w:val="1"/>
      <w:color w:val="800080"/>
      <w:sz w:val="26"/>
    </w:rPr>
  </w:style>
  <w:style w:styleId="Style_16_ch" w:type="character">
    <w:name w:val="Комментарий"/>
    <w:basedOn w:val="Style_2_ch"/>
    <w:link w:val="Style_16"/>
    <w:rPr>
      <w:rFonts w:ascii="Arial" w:hAnsi="Arial"/>
      <w:i w:val="1"/>
      <w:color w:val="800080"/>
      <w:sz w:val="26"/>
    </w:rPr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widowControl w:val="1"/>
      <w:ind/>
      <w:jc w:val="center"/>
      <w:outlineLvl w:val="0"/>
    </w:pPr>
    <w:rPr>
      <w:rFonts w:ascii="Arial" w:hAnsi="Arial"/>
      <w:b w:val="1"/>
      <w:color w:val="000000"/>
      <w:sz w:val="28"/>
    </w:rPr>
  </w:style>
  <w:style w:styleId="Style_18_ch" w:type="character">
    <w:name w:val="heading 1"/>
    <w:basedOn w:val="Style_2_ch"/>
    <w:link w:val="Style_18"/>
    <w:rPr>
      <w:rFonts w:ascii="Arial" w:hAnsi="Arial"/>
      <w:b w:val="1"/>
      <w:color w:val="000000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Body Text Indent 3"/>
    <w:basedOn w:val="Style_2"/>
    <w:link w:val="Style_24_ch"/>
    <w:pPr>
      <w:widowControl w:val="1"/>
      <w:spacing w:after="120"/>
      <w:ind w:left="283"/>
    </w:pPr>
    <w:rPr>
      <w:sz w:val="16"/>
    </w:rPr>
  </w:style>
  <w:style w:styleId="Style_24_ch" w:type="character">
    <w:name w:val="Body Text Indent 3"/>
    <w:basedOn w:val="Style_2_ch"/>
    <w:link w:val="Style_24"/>
    <w:rPr>
      <w:sz w:val="16"/>
    </w:rPr>
  </w:style>
  <w:style w:styleId="Style_25" w:type="paragraph">
    <w:name w:val="toc 9"/>
    <w:next w:val="Style_2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" w:type="paragraph">
    <w:name w:val="Normal_0"/>
    <w:link w:val="Style_1_ch"/>
  </w:style>
  <w:style w:styleId="Style_1_ch" w:type="character">
    <w:name w:val="Normal_0"/>
    <w:link w:val="Style_1"/>
  </w:style>
  <w:style w:styleId="Style_28" w:type="paragraph">
    <w:name w:val="Body Text"/>
    <w:basedOn w:val="Style_2"/>
    <w:link w:val="Style_28_ch"/>
    <w:pPr>
      <w:widowControl w:val="1"/>
      <w:spacing w:after="120"/>
      <w:ind/>
    </w:pPr>
  </w:style>
  <w:style w:styleId="Style_28_ch" w:type="character">
    <w:name w:val="Body Text"/>
    <w:basedOn w:val="Style_2_ch"/>
    <w:link w:val="Style_28"/>
  </w:style>
  <w:style w:styleId="Style_29" w:type="paragraph">
    <w:name w:val="snippet_equal"/>
    <w:link w:val="Style_29_ch"/>
  </w:style>
  <w:style w:styleId="Style_29_ch" w:type="character">
    <w:name w:val="snippet_equal"/>
    <w:link w:val="Style_29"/>
  </w:style>
  <w:style w:styleId="Style_30" w:type="paragraph">
    <w:name w:val="Subtitle"/>
    <w:next w:val="Style_2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Основной текст (4)"/>
    <w:basedOn w:val="Style_2"/>
    <w:link w:val="Style_34_ch"/>
    <w:pPr>
      <w:widowControl w:val="0"/>
      <w:spacing w:after="60" w:before="420" w:line="0" w:lineRule="atLeast"/>
      <w:ind/>
    </w:pPr>
    <w:rPr>
      <w:b w:val="1"/>
      <w:i w:val="1"/>
      <w:spacing w:val="20"/>
      <w:sz w:val="26"/>
    </w:rPr>
  </w:style>
  <w:style w:styleId="Style_34_ch" w:type="character">
    <w:name w:val="Основной текст (4)"/>
    <w:basedOn w:val="Style_2_ch"/>
    <w:link w:val="Style_34"/>
    <w:rPr>
      <w:b w:val="1"/>
      <w:i w:val="1"/>
      <w:spacing w:val="20"/>
      <w:sz w:val="26"/>
    </w:rPr>
  </w:style>
  <w:style w:styleId="Style_35" w:type="paragraph">
    <w:name w:val="heading 6"/>
    <w:basedOn w:val="Style_2"/>
    <w:next w:val="Style_2"/>
    <w:link w:val="Style_35_ch"/>
    <w:uiPriority w:val="9"/>
    <w:qFormat/>
    <w:pPr>
      <w:keepNext w:val="1"/>
      <w:widowControl w:val="1"/>
      <w:ind w:left="840"/>
      <w:outlineLvl w:val="5"/>
    </w:pPr>
    <w:rPr>
      <w:rFonts w:ascii="Garamond" w:hAnsi="Garamond"/>
      <w:b w:val="1"/>
    </w:rPr>
  </w:style>
  <w:style w:styleId="Style_35_ch" w:type="character">
    <w:name w:val="heading 6"/>
    <w:basedOn w:val="Style_2_ch"/>
    <w:link w:val="Style_35"/>
    <w:rPr>
      <w:rFonts w:ascii="Garamond" w:hAnsi="Garamond"/>
      <w:b w:val="1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2026-04-29T12:00:48Z</dcterms:created>
  <dcterms:modified xsi:type="dcterms:W3CDTF">2026-05-14T07:41:57Z</dcterms:modified>
</cp:coreProperties>
</file>