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города проведена проверка исполнения требований законодательства при определении платы за ремонт и содержание помещений в многоквартирных домах</w:t>
      </w:r>
    </w:p>
    <w:p w14:paraId="05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</w:p>
    <w:p w14:paraId="06000000">
      <w:pPr>
        <w:widowControl w:val="0"/>
        <w:spacing w:after="0" w:line="240" w:lineRule="auto"/>
        <w:ind w:firstLine="708" w:left="0" w:right="-2"/>
        <w:jc w:val="both"/>
      </w:pPr>
      <w:r>
        <w:rPr>
          <w:rFonts w:ascii="Times New Roman" w:hAnsi="Times New Roman"/>
          <w:sz w:val="28"/>
        </w:rPr>
        <w:t>Прокуратурой г. Буйнакска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>исполнени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требований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законодательства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определении платы за ремонт и содержание жилых помещений в многоквартирных домах (далее – МКД)</w:t>
      </w:r>
      <w:r>
        <w:rPr>
          <w:rFonts w:ascii="Times New Roman" w:hAnsi="Times New Roman"/>
          <w:sz w:val="28"/>
        </w:rPr>
        <w:t xml:space="preserve">. </w:t>
      </w:r>
    </w:p>
    <w:p w14:paraId="07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В силу ст. 144 Жилищного кодекса РФ </w:t>
      </w:r>
      <w:r>
        <w:rPr>
          <w:rFonts w:ascii="Times New Roman" w:hAnsi="Times New Roman"/>
          <w:b w:val="0"/>
          <w:sz w:val="28"/>
        </w:rPr>
        <w:t>органами управления товарищества собственников жилья (далее – ТСЖ, товарищество) являются общее собрание членов товарищества и правление товарищества.</w:t>
      </w:r>
    </w:p>
    <w:p w14:paraId="08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Согласно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ч. 1 ст. 147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ЖК РФ правление ТСЖ вправе принимать решения по всем вопросам деятельности товарищества, за исключением вопросов, отнесенных к исключительной компетенции общего собрания собственников </w:t>
      </w:r>
      <w:r>
        <w:rPr>
          <w:rFonts w:ascii="Times New Roman" w:hAnsi="Times New Roman"/>
          <w:b w:val="0"/>
          <w:sz w:val="28"/>
        </w:rPr>
        <w:t>и компетенции общего собрания членов ТСЖ.</w:t>
      </w:r>
    </w:p>
    <w:p w14:paraId="09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Размер обязательных платежей (взносов), связанных с оплатой расходов на содержание и ремонт общего имущества, для членов ТСЖ,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а также для собственников помещений МКД, не являющихся членами указанных организаций, определяется органами управления ТСЖ на основе утвержденной сметы доходов и расходов на соответствующий год,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что предусмотрено </w:t>
      </w:r>
      <w:r>
        <w:rPr>
          <w:rFonts w:ascii="Times New Roman" w:hAnsi="Times New Roman"/>
          <w:b w:val="0"/>
          <w:sz w:val="28"/>
        </w:rPr>
        <w:t>ч. 8 ст. 156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ЖК РФ и </w:t>
      </w:r>
      <w:r>
        <w:rPr>
          <w:rFonts w:ascii="Times New Roman" w:hAnsi="Times New Roman"/>
          <w:b w:val="0"/>
          <w:sz w:val="28"/>
        </w:rPr>
        <w:t>п. 33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Правил содержания общего имущества в многоквартирном доме, утвержденных постановлением Правительства Российской Федерации от 13.08.2006 N 491 (далее – Правила № 491).</w:t>
      </w:r>
    </w:p>
    <w:p w14:paraId="0A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 основании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пп. 4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8.1 ч. 2 ст. 145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ЖК РФ утверждение смет доходов и расходов товарищества на год и установление размера обязательных платежей и взносов членов товарищества</w:t>
      </w:r>
      <w:r>
        <w:rPr>
          <w:rFonts w:ascii="Times New Roman" w:hAnsi="Times New Roman"/>
          <w:b w:val="0"/>
          <w:sz w:val="28"/>
        </w:rPr>
        <w:t xml:space="preserve"> относится к компетенции общего собрания членов ТСЖ.</w:t>
      </w:r>
    </w:p>
    <w:p w14:paraId="0B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Вместе с тем, в ходе проведенной прокуратурой города с привлечением специалиста Государственной жилищной инспекции РД проверки установлено, что в нарушение </w:t>
      </w:r>
      <w:r>
        <w:rPr>
          <w:rFonts w:ascii="Times New Roman" w:hAnsi="Times New Roman"/>
          <w:b w:val="0"/>
          <w:sz w:val="28"/>
        </w:rPr>
        <w:t>пп. 2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3 ч. 1 ст. 137, </w:t>
      </w:r>
      <w:r>
        <w:rPr>
          <w:rFonts w:ascii="Times New Roman" w:hAnsi="Times New Roman"/>
          <w:b w:val="0"/>
          <w:sz w:val="28"/>
        </w:rPr>
        <w:t>пп. 4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8.1 ч. 2 ст. 145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ЖК РФ и п. 33 Правил № 491 размер платы за ремонт и содержание помещений </w:t>
      </w:r>
      <w:r>
        <w:rPr>
          <w:rFonts w:ascii="Times New Roman" w:hAnsi="Times New Roman"/>
          <w:b w:val="0"/>
          <w:sz w:val="28"/>
        </w:rPr>
        <w:t>в МКД под управлением ТСЖ на территории города установлен решением правления товарищества, то есть неуполномоченным органом.</w:t>
      </w:r>
    </w:p>
    <w:p w14:paraId="0C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устранения указанных нарушени</w:t>
      </w:r>
      <w:r>
        <w:rPr>
          <w:rFonts w:ascii="Times New Roman" w:hAnsi="Times New Roman"/>
          <w:sz w:val="28"/>
        </w:rPr>
        <w:t>й прокуратурой города председателю ТСЖ внесено представление.</w:t>
      </w:r>
      <w:r>
        <w:rPr>
          <w:rFonts w:ascii="Times New Roman" w:hAnsi="Times New Roman"/>
          <w:sz w:val="28"/>
        </w:rPr>
        <w:t xml:space="preserve"> </w:t>
      </w:r>
    </w:p>
    <w:p w14:paraId="0D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E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А.А. Магомедова</w:t>
      </w: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annotation subject"/>
    <w:basedOn w:val="Style_9"/>
    <w:next w:val="Style_9"/>
    <w:link w:val="Style_8_ch"/>
    <w:rPr>
      <w:b w:val="1"/>
    </w:rPr>
  </w:style>
  <w:style w:styleId="Style_8_ch" w:type="character">
    <w:name w:val="annotation subject"/>
    <w:basedOn w:val="Style_9_ch"/>
    <w:link w:val="Style_8"/>
    <w:rPr>
      <w:b w:val="1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3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Знак примечания1"/>
    <w:basedOn w:val="Style_14"/>
    <w:link w:val="Style_13_ch"/>
    <w:rPr>
      <w:sz w:val="16"/>
    </w:rPr>
  </w:style>
  <w:style w:styleId="Style_13_ch" w:type="character">
    <w:name w:val="Знак примечания1"/>
    <w:basedOn w:val="Style_14_ch"/>
    <w:link w:val="Style_13"/>
    <w:rPr>
      <w:sz w:val="16"/>
    </w:rPr>
  </w:style>
  <w:style w:styleId="Style_15" w:type="paragraph">
    <w:name w:val="header"/>
    <w:basedOn w:val="Style_3"/>
    <w:link w:val="Style_15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5_ch" w:type="character">
    <w:name w:val="header"/>
    <w:basedOn w:val="Style_3_ch"/>
    <w:link w:val="Style_15"/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next w:val="Style_3"/>
    <w:link w:val="Style_17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9" w:type="paragraph">
    <w:name w:val="heading 5"/>
    <w:next w:val="Style_3"/>
    <w:link w:val="Style_1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9_ch" w:type="character">
    <w:name w:val="heading 5"/>
    <w:link w:val="Style_19"/>
    <w:rPr>
      <w:rFonts w:ascii="XO Thames" w:hAnsi="XO Thames"/>
      <w:b w:val="1"/>
    </w:rPr>
  </w:style>
  <w:style w:styleId="Style_20" w:type="paragraph">
    <w:name w:val="heading 1"/>
    <w:next w:val="Style_3"/>
    <w:link w:val="Style_2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toc 1"/>
    <w:next w:val="Style_3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Balloon Text"/>
    <w:basedOn w:val="Style_3"/>
    <w:link w:val="Style_25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5_ch" w:type="character">
    <w:name w:val="Balloon Text"/>
    <w:basedOn w:val="Style_3_ch"/>
    <w:link w:val="Style_25"/>
    <w:rPr>
      <w:rFonts w:ascii="Segoe UI" w:hAnsi="Segoe UI"/>
      <w:sz w:val="18"/>
    </w:rPr>
  </w:style>
  <w:style w:styleId="Style_26" w:type="paragraph">
    <w:name w:val="toc 9"/>
    <w:next w:val="Style_3"/>
    <w:link w:val="Style_26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9" w:type="paragraph">
    <w:name w:val="annotation text"/>
    <w:basedOn w:val="Style_3"/>
    <w:link w:val="Style_9_ch"/>
    <w:pPr>
      <w:widowControl w:val="0"/>
      <w:spacing w:line="240" w:lineRule="auto"/>
      <w:ind/>
    </w:pPr>
    <w:rPr>
      <w:sz w:val="20"/>
    </w:rPr>
  </w:style>
  <w:style w:styleId="Style_9_ch" w:type="character">
    <w:name w:val="annotation text"/>
    <w:basedOn w:val="Style_3_ch"/>
    <w:link w:val="Style_9"/>
    <w:rPr>
      <w:sz w:val="20"/>
    </w:rPr>
  </w:style>
  <w:style w:styleId="Style_27" w:type="paragraph">
    <w:name w:val="toc 8"/>
    <w:next w:val="Style_3"/>
    <w:link w:val="Style_27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3"/>
    <w:link w:val="Style_28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3"/>
    <w:link w:val="Style_2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2026-06-15T14:04:29Z</dcterms:modified>
</cp:coreProperties>
</file>