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pPr w:horzAnchor="margin" w:tblpX="7269" w:tblpY="511" w:vertAnchor="page"/>
        <w:tblW w:type="auto" w:w="0"/>
        <w:tblLayout w:type="fixed"/>
        <w:tblCellMar>
          <w:left w:type="dxa" w:w="0"/>
          <w:right w:type="dxa" w:w="0"/>
        </w:tblCellMar>
      </w:tblPr>
      <w:tblGrid>
        <w:gridCol w:w="1581"/>
      </w:tblGrid>
      <w:tr>
        <w:trPr>
          <w:trHeight w:hRule="atLeast" w:val="454"/>
        </w:trPr>
        <w:tc>
          <w:tcPr>
            <w:tcW w:type="dxa" w:w="1581"/>
            <w:tcMar>
              <w:left w:type="dxa" w:w="0"/>
              <w:right w:type="dxa" w:w="0"/>
            </w:tcMar>
          </w:tcPr>
          <w:p w14:paraId="07000000">
            <w:pPr>
              <w:spacing w:after="0" w:line="240" w:lineRule="auto"/>
              <w:ind/>
              <w:rPr>
                <w:rFonts w:ascii="Times New Roman" w:hAnsi="Times New Roman"/>
                <w:sz w:val="64"/>
              </w:rPr>
            </w:pPr>
          </w:p>
        </w:tc>
      </w:tr>
    </w:tbl>
    <w:p w14:paraId="08000000">
      <w:pPr>
        <w:tabs>
          <w:tab w:leader="none" w:pos="709" w:val="left"/>
        </w:tabs>
        <w:spacing w:after="0" w:line="240" w:lineRule="auto"/>
        <w:ind w:firstLine="709" w:left="0"/>
        <w:jc w:val="both"/>
        <w:outlineLvl w:val="3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Прокуратур</w:t>
      </w:r>
      <w:r>
        <w:rPr>
          <w:rFonts w:ascii="Times New Roman" w:hAnsi="Times New Roman"/>
          <w:b w:val="1"/>
          <w:sz w:val="28"/>
        </w:rPr>
        <w:t>ой</w:t>
      </w:r>
      <w:r>
        <w:rPr>
          <w:rFonts w:ascii="Times New Roman" w:hAnsi="Times New Roman"/>
          <w:b w:val="1"/>
          <w:sz w:val="28"/>
        </w:rPr>
        <w:t xml:space="preserve"> г. Буйнакска </w:t>
      </w:r>
      <w:r>
        <w:rPr>
          <w:rFonts w:ascii="Times New Roman" w:hAnsi="Times New Roman"/>
          <w:b w:val="1"/>
          <w:sz w:val="28"/>
        </w:rPr>
        <w:t>утверждено обвинительное заключение и направлено</w:t>
      </w:r>
      <w:r>
        <w:rPr>
          <w:rFonts w:ascii="Times New Roman" w:hAnsi="Times New Roman"/>
          <w:b w:val="1"/>
          <w:sz w:val="28"/>
        </w:rPr>
        <w:t xml:space="preserve"> в суд уголовное дело по п. «з» ч. 2  ст. 111  УК РФ</w:t>
      </w:r>
    </w:p>
    <w:p w14:paraId="09000000">
      <w:pPr>
        <w:tabs>
          <w:tab w:leader="none" w:pos="709" w:val="left"/>
        </w:tabs>
        <w:spacing w:after="0" w:line="240" w:lineRule="auto"/>
        <w:ind w:firstLine="709" w:left="0"/>
        <w:jc w:val="both"/>
        <w:outlineLvl w:val="3"/>
        <w:rPr>
          <w:rFonts w:ascii="Times New Roman" w:hAnsi="Times New Roman"/>
          <w:sz w:val="28"/>
        </w:rPr>
      </w:pPr>
    </w:p>
    <w:p w14:paraId="0A000000">
      <w:pPr>
        <w:pStyle w:val="Style_4"/>
        <w:spacing w:after="0" w:before="0" w:line="180" w:lineRule="atLeast"/>
        <w:ind w:firstLine="709" w:left="0"/>
        <w:jc w:val="both"/>
        <w:rPr>
          <w:sz w:val="28"/>
        </w:rPr>
      </w:pPr>
      <w:r>
        <w:rPr>
          <w:sz w:val="28"/>
        </w:rPr>
        <w:t>П</w:t>
      </w:r>
      <w:r>
        <w:rPr>
          <w:sz w:val="28"/>
        </w:rPr>
        <w:t>рокуратурой города утверждено обвинительное заключение и для рассмотрения по существу направлено в Буйнакский городской</w:t>
      </w:r>
      <w:r>
        <w:rPr>
          <w:sz w:val="28"/>
        </w:rPr>
        <w:t xml:space="preserve"> </w:t>
      </w:r>
      <w:r>
        <w:rPr>
          <w:sz w:val="28"/>
        </w:rPr>
        <w:t xml:space="preserve">суд уголовное дело в отношении </w:t>
      </w:r>
      <w:r>
        <w:rPr>
          <w:sz w:val="28"/>
        </w:rPr>
        <w:t>местного жителя</w:t>
      </w:r>
      <w:r>
        <w:rPr>
          <w:sz w:val="28"/>
        </w:rPr>
        <w:t>, обвиняемого</w:t>
      </w:r>
      <w:r>
        <w:rPr>
          <w:sz w:val="28"/>
        </w:rPr>
        <w:t xml:space="preserve"> </w:t>
      </w:r>
      <w:r>
        <w:rPr>
          <w:sz w:val="28"/>
        </w:rPr>
        <w:t>в совершении преступления, предусмотренного п. «з» ч. 2 ст. 111 УК РФ</w:t>
      </w:r>
      <w:r>
        <w:rPr>
          <w:sz w:val="28"/>
        </w:rPr>
        <w:t xml:space="preserve"> – умышленное причинение тяжкого вреда здоровью с применением оружия или предметов, используемых в качестве оружия. </w:t>
      </w:r>
    </w:p>
    <w:p w14:paraId="0B000000">
      <w:pPr>
        <w:tabs>
          <w:tab w:leader="none" w:pos="709" w:val="left"/>
        </w:tabs>
        <w:spacing w:after="0" w:line="240" w:lineRule="auto"/>
        <w:ind w:firstLine="709" w:left="0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становлено</w:t>
      </w:r>
      <w:r>
        <w:rPr>
          <w:rFonts w:ascii="Times New Roman" w:hAnsi="Times New Roman"/>
          <w:sz w:val="28"/>
        </w:rPr>
        <w:t>, что</w:t>
      </w:r>
      <w:r>
        <w:rPr>
          <w:rFonts w:ascii="Times New Roman" w:hAnsi="Times New Roman"/>
          <w:sz w:val="28"/>
        </w:rPr>
        <w:t xml:space="preserve">  обвиняемый  в ходе драки с потерпевшим, возникшей на почве внезапно возникших неприязненных отношений, достал из-за пазухи находящийся при себе нож и, используя его в качестве оружия, умышленно, </w:t>
      </w:r>
      <w:r>
        <w:br/>
      </w:r>
      <w:r>
        <w:rPr>
          <w:rFonts w:ascii="Times New Roman" w:hAnsi="Times New Roman"/>
          <w:sz w:val="28"/>
        </w:rPr>
        <w:t>с целью причинения тяжких телесных повреждений, нанес последнему несколько ударов в область живота.</w:t>
      </w:r>
    </w:p>
    <w:p w14:paraId="0C000000">
      <w:pPr>
        <w:tabs>
          <w:tab w:leader="none" w:pos="709" w:val="left"/>
        </w:tabs>
        <w:spacing w:line="240" w:lineRule="auto"/>
        <w:ind w:firstLine="709" w:left="0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Санкцией инкриминируемой статьи предусмотрена уголовная ответственность в виде </w:t>
      </w:r>
      <w:r>
        <w:rPr>
          <w:rFonts w:ascii="Times New Roman" w:hAnsi="Times New Roman"/>
          <w:sz w:val="28"/>
        </w:rPr>
        <w:t>лишени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свободы на срок до десяти</w:t>
      </w:r>
      <w:r>
        <w:rPr>
          <w:rFonts w:ascii="Times New Roman" w:hAnsi="Times New Roman"/>
          <w:sz w:val="28"/>
        </w:rPr>
        <w:t xml:space="preserve"> лет</w:t>
      </w:r>
      <w:r>
        <w:rPr>
          <w:rFonts w:ascii="Times New Roman" w:hAnsi="Times New Roman"/>
          <w:sz w:val="28"/>
        </w:rPr>
        <w:t>.</w:t>
      </w:r>
    </w:p>
    <w:p w14:paraId="0D000000">
      <w:pPr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Ст. помощник прокурора города                                                         М.М. Гамидов</w:t>
      </w:r>
    </w:p>
    <w:sectPr>
      <w:headerReference r:id="rId3" w:type="default"/>
      <w:headerReference r:id="rId1" w:type="first"/>
      <w:footerReference r:id="rId2" w:type="first"/>
      <w:pgSz w:h="16838" w:orient="portrait" w:w="11906"/>
      <w:pgMar w:bottom="851" w:footer="709" w:gutter="0" w:header="709" w:left="1418" w:right="851" w:top="1276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2"/>
      <w:tblpPr w:horzAnchor="margin" w:tblpXSpec="right" w:tblpYSpec="outside" w:vertAnchor="page"/>
      <w:tblW w:type="auto" w:w="0"/>
      <w:tblBorders>
        <w:top w:color="000000" w:sz="6" w:val="single"/>
        <w:left w:color="000000" w:sz="6" w:val="single"/>
        <w:bottom w:color="000000" w:sz="6" w:val="single"/>
        <w:right w:color="000000" w:sz="6" w:val="single"/>
        <w:insideH w:color="000000" w:sz="6" w:val="single"/>
        <w:insideV w:color="000000" w:sz="6" w:val="single"/>
      </w:tblBorders>
      <w:tblLayout w:type="fixed"/>
      <w:tblCellMar>
        <w:top w:type="dxa" w:w="28"/>
        <w:left w:type="dxa" w:w="28"/>
        <w:bottom w:type="dxa" w:w="28"/>
        <w:right w:type="dxa" w:w="28"/>
      </w:tblCellMar>
    </w:tblPr>
    <w:tblGrid>
      <w:gridCol w:w="3643"/>
    </w:tblGrid>
    <w:tr>
      <w:trPr>
        <w:trHeight w:hRule="atLeast" w:val="57"/>
      </w:trPr>
      <w:tc>
        <w:tcPr>
          <w:tcW w:type="dxa" w:w="3643"/>
          <w:tcBorders>
            <w:top w:color="000000" w:sz="6" w:val="single"/>
            <w:left w:color="000000" w:sz="6" w:val="single"/>
            <w:bottom w:color="000000" w:sz="6" w:val="single"/>
            <w:right w:color="000000" w:sz="6" w:val="single"/>
          </w:tcBorders>
          <w:tcMar>
            <w:top w:type="dxa" w:w="28"/>
            <w:left w:type="dxa" w:w="28"/>
            <w:bottom w:type="dxa" w:w="28"/>
            <w:right w:type="dxa" w:w="28"/>
          </w:tcMar>
        </w:tcPr>
        <w:p w14:paraId="03000000">
          <w:pPr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04000000">
          <w:pPr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r>
            <w:rPr>
              <w:rFonts w:ascii="Times New Roman" w:hAnsi="Times New Roman"/>
              <w:color w:themeColor="background1" w:themeShade="BF" w:val="BFBFBF"/>
              <w:sz w:val="16"/>
            </w:rPr>
            <w:t>рег.номер</w:t>
          </w:r>
          <w:bookmarkEnd w:id="2"/>
        </w:p>
      </w:tc>
    </w:tr>
  </w:tbl>
  <w:p w14:paraId="05000000">
    <w:pPr>
      <w:pStyle w:val="Style_3"/>
      <w:spacing w:after="60"/>
      <w:ind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ind/>
      <w:jc w:val="center"/>
    </w:pPr>
    <w:r>
      <w:t>2</w: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4" w:type="paragraph">
    <w:name w:val="Normal (Web)"/>
    <w:basedOn w:val="Style_5"/>
    <w:link w:val="Style_4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4_ch" w:type="character">
    <w:name w:val="Normal (Web)"/>
    <w:basedOn w:val="Style_5_ch"/>
    <w:link w:val="Style_4"/>
    <w:rPr>
      <w:rFonts w:ascii="Times New Roman" w:hAnsi="Times New Roman"/>
      <w:sz w:val="24"/>
    </w:rPr>
  </w:style>
  <w:style w:styleId="Style_1" w:type="paragraph">
    <w:name w:val="header"/>
    <w:basedOn w:val="Style_5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5_ch"/>
    <w:link w:val="Style_1"/>
  </w:style>
  <w:style w:styleId="Style_3" w:type="paragraph">
    <w:name w:val="footer"/>
    <w:basedOn w:val="Style_5"/>
    <w:link w:val="Style_3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_ch" w:type="character">
    <w:name w:val="footer"/>
    <w:basedOn w:val="Style_5_ch"/>
    <w:link w:val="Style_3"/>
  </w:style>
  <w:style w:styleId="Style_12" w:type="paragraph">
    <w:name w:val="Body Text"/>
    <w:basedOn w:val="Style_5"/>
    <w:link w:val="Style_12_ch"/>
    <w:pPr>
      <w:spacing w:after="120"/>
      <w:ind/>
    </w:pPr>
  </w:style>
  <w:style w:styleId="Style_12_ch" w:type="character">
    <w:name w:val="Body Text"/>
    <w:basedOn w:val="Style_5_ch"/>
    <w:link w:val="Style_12"/>
  </w:style>
  <w:style w:styleId="Style_13" w:type="paragraph">
    <w:name w:val="toc 3"/>
    <w:next w:val="Style_5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Balloon Text"/>
    <w:basedOn w:val="Style_5"/>
    <w:link w:val="Style_14_ch"/>
    <w:pPr>
      <w:spacing w:after="0" w:line="240" w:lineRule="auto"/>
      <w:ind/>
    </w:pPr>
    <w:rPr>
      <w:rFonts w:ascii="Segoe UI" w:hAnsi="Segoe UI"/>
      <w:sz w:val="18"/>
    </w:rPr>
  </w:style>
  <w:style w:styleId="Style_14_ch" w:type="character">
    <w:name w:val="Balloon Text"/>
    <w:basedOn w:val="Style_5_ch"/>
    <w:link w:val="Style_14"/>
    <w:rPr>
      <w:rFonts w:ascii="Segoe UI" w:hAnsi="Segoe UI"/>
      <w:sz w:val="18"/>
    </w:rPr>
  </w:style>
  <w:style w:styleId="Style_15" w:type="paragraph">
    <w:name w:val="footnote reference"/>
    <w:basedOn w:val="Style_16"/>
    <w:link w:val="Style_15_ch"/>
    <w:rPr>
      <w:vertAlign w:val="superscript"/>
    </w:rPr>
  </w:style>
  <w:style w:styleId="Style_15_ch" w:type="character">
    <w:name w:val="footnote reference"/>
    <w:basedOn w:val="Style_16_ch"/>
    <w:link w:val="Style_15"/>
    <w:rPr>
      <w:vertAlign w:val="superscript"/>
    </w:rPr>
  </w:style>
  <w:style w:styleId="Style_17" w:type="paragraph">
    <w:name w:val="heading 5"/>
    <w:next w:val="Style_5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5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basedOn w:val="Style_5"/>
    <w:link w:val="Style_20_ch"/>
    <w:pPr>
      <w:spacing w:after="0" w:line="240" w:lineRule="auto"/>
      <w:ind/>
    </w:pPr>
    <w:rPr>
      <w:sz w:val="20"/>
    </w:rPr>
  </w:style>
  <w:style w:styleId="Style_20_ch" w:type="character">
    <w:name w:val="Footnote"/>
    <w:basedOn w:val="Style_5_ch"/>
    <w:link w:val="Style_20"/>
    <w:rPr>
      <w:sz w:val="20"/>
    </w:rPr>
  </w:style>
  <w:style w:styleId="Style_21" w:type="paragraph">
    <w:name w:val="toc 1"/>
    <w:next w:val="Style_5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23" w:type="paragraph">
    <w:name w:val="toc 9"/>
    <w:next w:val="Style_5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5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5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5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No Spacing"/>
    <w:link w:val="Style_27_ch"/>
    <w:pPr>
      <w:spacing w:after="0" w:line="240" w:lineRule="auto"/>
      <w:ind/>
    </w:pPr>
  </w:style>
  <w:style w:styleId="Style_27_ch" w:type="character">
    <w:name w:val="No Spacing"/>
    <w:link w:val="Style_27"/>
  </w:style>
  <w:style w:styleId="Style_28" w:type="paragraph">
    <w:name w:val="Title"/>
    <w:next w:val="Style_5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5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5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styleId="Style_31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2025-12-12T13:15:50Z</dcterms:modified>
</cp:coreProperties>
</file>