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2"/>
        <w:tblpPr w:horzAnchor="margin" w:tblpX="7269" w:tblpY="511" w:vertAnchor="page"/>
        <w:tblW w:type="auto" w:w="0"/>
        <w:tblLayout w:type="fixed"/>
        <w:tblCellMar>
          <w:left w:type="dxa" w:w="0"/>
          <w:right w:type="dxa" w:w="0"/>
        </w:tblCellMar>
      </w:tblPr>
      <w:tblGrid>
        <w:gridCol w:w="1581"/>
      </w:tblGrid>
      <w:tr>
        <w:trPr>
          <w:trHeight w:hRule="atLeast" w:val="454"/>
        </w:trPr>
        <w:tc>
          <w:tcPr>
            <w:tcW w:type="dxa" w:w="1581"/>
            <w:tcMar>
              <w:left w:type="dxa" w:w="0"/>
              <w:right w:type="dxa" w:w="0"/>
            </w:tcMar>
          </w:tcPr>
          <w:p w14:paraId="07000000">
            <w:pPr>
              <w:spacing w:after="0" w:line="240" w:lineRule="auto"/>
              <w:ind/>
              <w:rPr>
                <w:rFonts w:ascii="Times New Roman" w:hAnsi="Times New Roman"/>
                <w:sz w:val="64"/>
              </w:rPr>
            </w:pPr>
          </w:p>
        </w:tc>
      </w:tr>
    </w:tbl>
    <w:p w14:paraId="08000000">
      <w:pPr>
        <w:tabs>
          <w:tab w:leader="none" w:pos="709" w:val="left"/>
        </w:tabs>
        <w:spacing w:after="0" w:line="240" w:lineRule="auto"/>
        <w:ind w:firstLine="709" w:left="0"/>
        <w:jc w:val="both"/>
        <w:outlineLvl w:val="3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Прокуратур</w:t>
      </w:r>
      <w:r>
        <w:rPr>
          <w:rFonts w:ascii="Times New Roman" w:hAnsi="Times New Roman"/>
          <w:b w:val="1"/>
          <w:sz w:val="28"/>
        </w:rPr>
        <w:t>ой</w:t>
      </w:r>
      <w:r>
        <w:rPr>
          <w:rFonts w:ascii="Times New Roman" w:hAnsi="Times New Roman"/>
          <w:b w:val="1"/>
          <w:sz w:val="28"/>
        </w:rPr>
        <w:t xml:space="preserve"> г. Буйнакска </w:t>
      </w:r>
      <w:r>
        <w:rPr>
          <w:rFonts w:ascii="Times New Roman" w:hAnsi="Times New Roman"/>
          <w:b w:val="1"/>
          <w:sz w:val="28"/>
        </w:rPr>
        <w:t>утвержден обвинительный акт и направлено</w:t>
      </w:r>
      <w:r>
        <w:rPr>
          <w:rFonts w:ascii="Times New Roman" w:hAnsi="Times New Roman"/>
          <w:b w:val="1"/>
          <w:sz w:val="28"/>
        </w:rPr>
        <w:t xml:space="preserve"> в суд уголовное дело по ч. 1 ст. 228 УК РФ </w:t>
      </w:r>
    </w:p>
    <w:p w14:paraId="09000000">
      <w:pPr>
        <w:tabs>
          <w:tab w:leader="none" w:pos="709" w:val="left"/>
        </w:tabs>
        <w:spacing w:after="0" w:line="240" w:lineRule="auto"/>
        <w:ind w:firstLine="709" w:left="0"/>
        <w:jc w:val="both"/>
        <w:outlineLvl w:val="3"/>
        <w:rPr>
          <w:rFonts w:ascii="Times New Roman" w:hAnsi="Times New Roman"/>
          <w:sz w:val="28"/>
        </w:rPr>
      </w:pPr>
    </w:p>
    <w:p w14:paraId="0A000000">
      <w:pPr>
        <w:spacing w:after="0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 xml:space="preserve">рокуратурой города утвержден обвинительный акт и для рассмотрения по существу направлено в Буйнакский </w:t>
      </w:r>
      <w:r>
        <w:rPr>
          <w:rFonts w:ascii="Times New Roman" w:hAnsi="Times New Roman"/>
          <w:sz w:val="28"/>
        </w:rPr>
        <w:t>городской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суд уголовное дело в отношении </w:t>
      </w:r>
      <w:r>
        <w:rPr>
          <w:rFonts w:ascii="Times New Roman" w:hAnsi="Times New Roman"/>
          <w:sz w:val="28"/>
        </w:rPr>
        <w:t>местного жителя</w:t>
      </w:r>
      <w:r>
        <w:rPr>
          <w:rFonts w:ascii="Times New Roman" w:hAnsi="Times New Roman"/>
          <w:sz w:val="28"/>
        </w:rPr>
        <w:t>, обвиняемого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 совершении преступления, предусмотренного </w:t>
      </w:r>
      <w:r>
        <w:rPr>
          <w:rFonts w:ascii="Times New Roman" w:hAnsi="Times New Roman"/>
          <w:spacing w:val="-1"/>
          <w:sz w:val="28"/>
        </w:rPr>
        <w:t xml:space="preserve">ч. </w:t>
      </w:r>
      <w:r>
        <w:rPr>
          <w:rFonts w:ascii="Times New Roman" w:hAnsi="Times New Roman"/>
          <w:spacing w:val="-1"/>
          <w:sz w:val="28"/>
        </w:rPr>
        <w:t>1 ст. 2</w:t>
      </w:r>
      <w:r>
        <w:rPr>
          <w:rFonts w:ascii="Times New Roman" w:hAnsi="Times New Roman"/>
          <w:spacing w:val="-1"/>
          <w:sz w:val="28"/>
        </w:rPr>
        <w:t>28</w:t>
      </w:r>
      <w:r>
        <w:rPr>
          <w:rFonts w:ascii="Times New Roman" w:hAnsi="Times New Roman"/>
          <w:spacing w:val="-1"/>
          <w:sz w:val="28"/>
        </w:rPr>
        <w:t xml:space="preserve"> УК РФ</w:t>
      </w:r>
      <w:r>
        <w:rPr>
          <w:rFonts w:ascii="Times New Roman" w:hAnsi="Times New Roman"/>
          <w:sz w:val="28"/>
        </w:rPr>
        <w:t>.</w:t>
      </w:r>
    </w:p>
    <w:p w14:paraId="0B000000">
      <w:pPr>
        <w:tabs>
          <w:tab w:leader="none" w:pos="709" w:val="left"/>
        </w:tabs>
        <w:spacing w:after="0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У</w:t>
      </w:r>
      <w:r>
        <w:rPr>
          <w:rFonts w:ascii="Times New Roman" w:hAnsi="Times New Roman"/>
          <w:color w:val="000000"/>
          <w:sz w:val="28"/>
        </w:rPr>
        <w:t>становлено, чт</w:t>
      </w:r>
      <w:r>
        <w:rPr>
          <w:rFonts w:ascii="Times New Roman" w:hAnsi="Times New Roman"/>
          <w:color w:val="000000"/>
          <w:sz w:val="28"/>
        </w:rPr>
        <w:t>о жител</w:t>
      </w:r>
      <w:r>
        <w:rPr>
          <w:rFonts w:ascii="Times New Roman" w:hAnsi="Times New Roman"/>
          <w:color w:val="000000"/>
          <w:sz w:val="28"/>
        </w:rPr>
        <w:t>ь г. Буйнакска</w:t>
      </w:r>
      <w:r>
        <w:rPr>
          <w:rFonts w:ascii="Times New Roman" w:hAnsi="Times New Roman"/>
          <w:sz w:val="28"/>
        </w:rPr>
        <w:t xml:space="preserve"> был подвергнут личному досмотру, </w:t>
      </w:r>
      <w:r>
        <w:br/>
      </w:r>
      <w:r>
        <w:rPr>
          <w:rFonts w:ascii="Times New Roman" w:hAnsi="Times New Roman"/>
          <w:sz w:val="28"/>
        </w:rPr>
        <w:t xml:space="preserve">в ходе которого в правом наружном кармане надетой на нем куртки был обнаружен и изъят черный полимерный пакет с веществом зеленого цвета растительного происхождения со специфическим запахом. </w:t>
      </w:r>
    </w:p>
    <w:p w14:paraId="0C000000">
      <w:pPr>
        <w:tabs>
          <w:tab w:leader="none" w:pos="709" w:val="left"/>
        </w:tabs>
        <w:spacing w:after="0" w:line="240" w:lineRule="auto"/>
        <w:ind w:firstLine="709" w:left="0"/>
        <w:jc w:val="both"/>
        <w:outlineLvl w:val="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Согласно справке об исследовании МЭКО ЭКЦ МВД по РД представленное на исследование вещество растительного происхождения является наркотическим средством каннабис (</w:t>
      </w:r>
      <w:r>
        <w:rPr>
          <w:rFonts w:ascii="Times New Roman" w:hAnsi="Times New Roman"/>
          <w:sz w:val="28"/>
        </w:rPr>
        <w:t>марихуанна</w:t>
      </w:r>
      <w:r>
        <w:rPr>
          <w:rFonts w:ascii="Times New Roman" w:hAnsi="Times New Roman"/>
          <w:sz w:val="28"/>
        </w:rPr>
        <w:t>).</w:t>
      </w:r>
    </w:p>
    <w:p w14:paraId="0D000000">
      <w:pPr>
        <w:tabs>
          <w:tab w:leader="none" w:pos="709" w:val="left"/>
        </w:tabs>
        <w:spacing w:line="240" w:lineRule="auto"/>
        <w:ind w:firstLine="709" w:left="0"/>
        <w:jc w:val="both"/>
        <w:outlineLvl w:val="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Санкцией инкриминируемой статьи предусмотрена уголовная ответственность в виде </w:t>
      </w:r>
      <w:r>
        <w:rPr>
          <w:rFonts w:ascii="Times New Roman" w:hAnsi="Times New Roman"/>
          <w:sz w:val="28"/>
        </w:rPr>
        <w:t>лишени</w:t>
      </w:r>
      <w:r>
        <w:rPr>
          <w:rFonts w:ascii="Times New Roman" w:hAnsi="Times New Roman"/>
          <w:sz w:val="28"/>
        </w:rPr>
        <w:t>я</w:t>
      </w:r>
      <w:bookmarkStart w:id="3" w:name="_GoBack"/>
      <w:bookmarkEnd w:id="3"/>
      <w:r>
        <w:rPr>
          <w:rFonts w:ascii="Times New Roman" w:hAnsi="Times New Roman"/>
          <w:sz w:val="28"/>
        </w:rPr>
        <w:t xml:space="preserve"> свободы на срок до </w:t>
      </w:r>
      <w:r>
        <w:rPr>
          <w:rFonts w:ascii="Times New Roman" w:hAnsi="Times New Roman"/>
          <w:sz w:val="28"/>
        </w:rPr>
        <w:t>трех</w:t>
      </w:r>
      <w:r>
        <w:rPr>
          <w:rFonts w:ascii="Times New Roman" w:hAnsi="Times New Roman"/>
          <w:sz w:val="28"/>
        </w:rPr>
        <w:t xml:space="preserve"> лет</w:t>
      </w:r>
      <w:r>
        <w:rPr>
          <w:rFonts w:ascii="Times New Roman" w:hAnsi="Times New Roman"/>
          <w:sz w:val="28"/>
        </w:rPr>
        <w:t>.</w:t>
      </w:r>
    </w:p>
    <w:p w14:paraId="0E000000">
      <w:pPr>
        <w:tabs>
          <w:tab w:leader="none" w:pos="2268" w:val="left"/>
          <w:tab w:leader="none" w:pos="6804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Ст. помощник прокурора города                                                         М.М. Гамидов</w:t>
      </w:r>
    </w:p>
    <w:sectPr>
      <w:headerReference r:id="rId3" w:type="default"/>
      <w:headerReference r:id="rId1" w:type="first"/>
      <w:footerReference r:id="rId2" w:type="first"/>
      <w:pgSz w:h="16838" w:orient="portrait" w:w="11906"/>
      <w:pgMar w:bottom="851" w:footer="709" w:gutter="0" w:header="709" w:left="1418" w:right="851" w:top="1276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Style w:val="Style_2"/>
      <w:tblpPr w:horzAnchor="margin" w:tblpXSpec="right" w:tblpYSpec="outside" w:vertAnchor="page"/>
      <w:tblW w:type="auto" w:w="0"/>
      <w:tblBorders>
        <w:top w:color="000000" w:sz="6" w:val="single"/>
        <w:left w:color="000000" w:sz="6" w:val="single"/>
        <w:bottom w:color="000000" w:sz="6" w:val="single"/>
        <w:right w:color="000000" w:sz="6" w:val="single"/>
        <w:insideH w:color="000000" w:sz="6" w:val="single"/>
        <w:insideV w:color="000000" w:sz="6" w:val="single"/>
      </w:tblBorders>
      <w:tblLayout w:type="fixed"/>
      <w:tblCellMar>
        <w:top w:type="dxa" w:w="28"/>
        <w:left w:type="dxa" w:w="28"/>
        <w:bottom w:type="dxa" w:w="28"/>
        <w:right w:type="dxa" w:w="28"/>
      </w:tblCellMar>
    </w:tblPr>
    <w:tblGrid>
      <w:gridCol w:w="3643"/>
    </w:tblGrid>
    <w:tr>
      <w:trPr>
        <w:trHeight w:hRule="atLeast" w:val="57"/>
      </w:trPr>
      <w:tc>
        <w:tcPr>
          <w:tcW w:type="dxa" w:w="3643"/>
          <w:tcBorders>
            <w:top w:color="000000" w:sz="6" w:val="single"/>
            <w:left w:color="000000" w:sz="6" w:val="single"/>
            <w:bottom w:color="000000" w:sz="6" w:val="single"/>
            <w:right w:color="000000" w:sz="6" w:val="single"/>
          </w:tcBorders>
          <w:tcMar>
            <w:top w:type="dxa" w:w="28"/>
            <w:left w:type="dxa" w:w="28"/>
            <w:bottom w:type="dxa" w:w="28"/>
            <w:right w:type="dxa" w:w="28"/>
          </w:tcMar>
        </w:tcPr>
        <w:p w14:paraId="03000000">
          <w:pPr>
            <w:spacing w:after="60" w:line="240" w:lineRule="auto"/>
            <w:ind/>
            <w:jc w:val="center"/>
            <w:rPr>
              <w:rFonts w:ascii="Times New Roman" w:hAnsi="Times New Roman"/>
              <w:sz w:val="16"/>
            </w:rPr>
          </w:pPr>
          <w:bookmarkStart w:id="1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1"/>
        </w:p>
        <w:p w14:paraId="04000000">
          <w:pPr>
            <w:spacing w:after="60" w:line="240" w:lineRule="auto"/>
            <w:ind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2" w:name="REGNUMSTAMP"/>
          <w:r>
            <w:rPr>
              <w:rFonts w:ascii="Times New Roman" w:hAnsi="Times New Roman"/>
              <w:color w:themeColor="background1" w:themeShade="BF" w:val="BFBFBF"/>
              <w:sz w:val="16"/>
            </w:rPr>
            <w:t>рег.номер</w:t>
          </w:r>
          <w:bookmarkEnd w:id="2"/>
        </w:p>
      </w:tc>
    </w:tr>
  </w:tbl>
  <w:p w14:paraId="05000000">
    <w:pPr>
      <w:pStyle w:val="Style_3"/>
      <w:spacing w:after="60"/>
      <w:ind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  <w:ind/>
      <w:jc w:val="center"/>
    </w:pPr>
    <w:r>
      <w:t>2</w:t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1" w:type="paragraph">
    <w:name w:val="header"/>
    <w:basedOn w:val="Style_4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4_ch"/>
    <w:link w:val="Style_1"/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4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3" w:type="paragraph">
    <w:name w:val="footer"/>
    <w:basedOn w:val="Style_4"/>
    <w:link w:val="Style_3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3_ch" w:type="character">
    <w:name w:val="footer"/>
    <w:basedOn w:val="Style_4_ch"/>
    <w:link w:val="Style_3"/>
  </w:style>
  <w:style w:styleId="Style_11" w:type="paragraph">
    <w:name w:val="footnote reference"/>
    <w:basedOn w:val="Style_12"/>
    <w:link w:val="Style_11_ch"/>
    <w:rPr>
      <w:vertAlign w:val="superscript"/>
    </w:rPr>
  </w:style>
  <w:style w:styleId="Style_11_ch" w:type="character">
    <w:name w:val="footnote reference"/>
    <w:basedOn w:val="Style_12_ch"/>
    <w:link w:val="Style_11"/>
    <w:rPr>
      <w:vertAlign w:val="superscript"/>
    </w:rPr>
  </w:style>
  <w:style w:styleId="Style_13" w:type="paragraph">
    <w:name w:val="No Spacing"/>
    <w:link w:val="Style_13_ch"/>
    <w:pPr>
      <w:spacing w:after="0" w:line="240" w:lineRule="auto"/>
      <w:ind/>
    </w:pPr>
  </w:style>
  <w:style w:styleId="Style_13_ch" w:type="character">
    <w:name w:val="No Spacing"/>
    <w:link w:val="Style_13"/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4" w:type="paragraph">
    <w:name w:val="toc 3"/>
    <w:next w:val="Style_4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Balloon Text"/>
    <w:basedOn w:val="Style_4"/>
    <w:link w:val="Style_15_ch"/>
    <w:pPr>
      <w:spacing w:after="0" w:line="240" w:lineRule="auto"/>
      <w:ind/>
    </w:pPr>
    <w:rPr>
      <w:rFonts w:ascii="Segoe UI" w:hAnsi="Segoe UI"/>
      <w:sz w:val="18"/>
    </w:rPr>
  </w:style>
  <w:style w:styleId="Style_15_ch" w:type="character">
    <w:name w:val="Balloon Text"/>
    <w:basedOn w:val="Style_4_ch"/>
    <w:link w:val="Style_15"/>
    <w:rPr>
      <w:rFonts w:ascii="Segoe UI" w:hAnsi="Segoe UI"/>
      <w:sz w:val="18"/>
    </w:rPr>
  </w:style>
  <w:style w:styleId="Style_16" w:type="paragraph">
    <w:name w:val="heading 5"/>
    <w:next w:val="Style_4"/>
    <w:link w:val="Style_1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6_ch" w:type="character">
    <w:name w:val="heading 5"/>
    <w:link w:val="Style_16"/>
    <w:rPr>
      <w:rFonts w:ascii="XO Thames" w:hAnsi="XO Thames"/>
      <w:b w:val="1"/>
      <w:sz w:val="22"/>
    </w:rPr>
  </w:style>
  <w:style w:styleId="Style_17" w:type="paragraph">
    <w:name w:val="heading 1"/>
    <w:next w:val="Style_4"/>
    <w:link w:val="Style_17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7_ch" w:type="character">
    <w:name w:val="heading 1"/>
    <w:link w:val="Style_17"/>
    <w:rPr>
      <w:rFonts w:ascii="XO Thames" w:hAnsi="XO Thames"/>
      <w:b w:val="1"/>
      <w:sz w:val="32"/>
    </w:rPr>
  </w:style>
  <w:style w:styleId="Style_18" w:type="paragraph">
    <w:name w:val="Body Text"/>
    <w:basedOn w:val="Style_4"/>
    <w:link w:val="Style_18_ch"/>
    <w:pPr>
      <w:spacing w:after="120"/>
      <w:ind/>
    </w:pPr>
  </w:style>
  <w:style w:styleId="Style_18_ch" w:type="character">
    <w:name w:val="Body Text"/>
    <w:basedOn w:val="Style_4_ch"/>
    <w:link w:val="Style_18"/>
  </w:style>
  <w:style w:styleId="Style_19" w:type="paragraph">
    <w:name w:val="Hyperlink"/>
    <w:link w:val="Style_19_ch"/>
    <w:rPr>
      <w:color w:val="0000FF"/>
      <w:u w:val="single"/>
    </w:rPr>
  </w:style>
  <w:style w:styleId="Style_19_ch" w:type="character">
    <w:name w:val="Hyperlink"/>
    <w:link w:val="Style_19"/>
    <w:rPr>
      <w:color w:val="0000FF"/>
      <w:u w:val="single"/>
    </w:rPr>
  </w:style>
  <w:style w:styleId="Style_20" w:type="paragraph">
    <w:name w:val="Footnote"/>
    <w:basedOn w:val="Style_4"/>
    <w:link w:val="Style_20_ch"/>
    <w:pPr>
      <w:spacing w:after="0" w:line="240" w:lineRule="auto"/>
      <w:ind/>
    </w:pPr>
    <w:rPr>
      <w:sz w:val="20"/>
    </w:rPr>
  </w:style>
  <w:style w:styleId="Style_20_ch" w:type="character">
    <w:name w:val="Footnote"/>
    <w:basedOn w:val="Style_4_ch"/>
    <w:link w:val="Style_20"/>
    <w:rPr>
      <w:sz w:val="20"/>
    </w:rPr>
  </w:style>
  <w:style w:styleId="Style_21" w:type="paragraph">
    <w:name w:val="toc 1"/>
    <w:next w:val="Style_4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toc 9"/>
    <w:next w:val="Style_4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4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toc 5"/>
    <w:next w:val="Style_4"/>
    <w:link w:val="Style_2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Subtitle"/>
    <w:next w:val="Style_4"/>
    <w:link w:val="Style_2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6_ch" w:type="character">
    <w:name w:val="Subtitle"/>
    <w:link w:val="Style_26"/>
    <w:rPr>
      <w:rFonts w:ascii="XO Thames" w:hAnsi="XO Thames"/>
      <w:i w:val="1"/>
      <w:sz w:val="24"/>
    </w:rPr>
  </w:style>
  <w:style w:styleId="Style_27" w:type="paragraph">
    <w:name w:val="Normal (Web)"/>
    <w:basedOn w:val="Style_4"/>
    <w:link w:val="Style_27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7_ch" w:type="character">
    <w:name w:val="Normal (Web)"/>
    <w:basedOn w:val="Style_4_ch"/>
    <w:link w:val="Style_27"/>
    <w:rPr>
      <w:rFonts w:ascii="Times New Roman" w:hAnsi="Times New Roman"/>
      <w:sz w:val="24"/>
    </w:rPr>
  </w:style>
  <w:style w:styleId="Style_28" w:type="paragraph">
    <w:name w:val="Title"/>
    <w:next w:val="Style_4"/>
    <w:link w:val="Style_2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next w:val="Style_4"/>
    <w:link w:val="Style_2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heading 2"/>
    <w:next w:val="Style_4"/>
    <w:link w:val="Style_3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1" w:type="table">
    <w:name w:val="Table Grid"/>
    <w:basedOn w:val="Style_2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footer2.xml" Type="http://schemas.openxmlformats.org/officeDocument/2006/relationships/footer"/>
  <Relationship Id="rId3" Target="header3.xml" Type="http://schemas.openxmlformats.org/officeDocument/2006/relationships/header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2025-12-12T13:34:57Z</dcterms:modified>
</cp:coreProperties>
</file>