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2"/>
        <w:tblpPr w:horzAnchor="margin" w:tblpX="7269" w:tblpY="511" w:vertAnchor="page"/>
        <w:tblW w:type="auto" w:w="0"/>
        <w:tblLayout w:type="fixed"/>
        <w:tblCellMar>
          <w:left w:type="dxa" w:w="0"/>
          <w:right w:type="dxa" w:w="0"/>
        </w:tblCellMar>
      </w:tblPr>
      <w:tblGrid>
        <w:gridCol w:w="1581"/>
      </w:tblGrid>
      <w:tr>
        <w:trPr>
          <w:trHeight w:hRule="atLeast" w:val="454"/>
        </w:trPr>
        <w:tc>
          <w:tcPr>
            <w:tcW w:type="dxa" w:w="1581"/>
            <w:tcMar>
              <w:left w:type="dxa" w:w="0"/>
              <w:right w:type="dxa" w:w="0"/>
            </w:tcMar>
          </w:tcPr>
          <w:p w14:paraId="07000000">
            <w:pPr>
              <w:spacing w:after="0" w:line="240" w:lineRule="auto"/>
              <w:ind/>
              <w:rPr>
                <w:rFonts w:ascii="Times New Roman" w:hAnsi="Times New Roman"/>
                <w:sz w:val="64"/>
              </w:rPr>
            </w:pPr>
          </w:p>
        </w:tc>
      </w:tr>
    </w:tbl>
    <w:p w14:paraId="08000000">
      <w:pPr>
        <w:tabs>
          <w:tab w:leader="none" w:pos="709" w:val="left"/>
        </w:tabs>
        <w:spacing w:after="0" w:line="240" w:lineRule="auto"/>
        <w:ind w:firstLine="709" w:left="0"/>
        <w:jc w:val="both"/>
        <w:outlineLvl w:val="3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Прокуратур</w:t>
      </w:r>
      <w:r>
        <w:rPr>
          <w:rFonts w:ascii="Times New Roman" w:hAnsi="Times New Roman"/>
          <w:b w:val="1"/>
          <w:sz w:val="28"/>
        </w:rPr>
        <w:t>ой</w:t>
      </w:r>
      <w:r>
        <w:rPr>
          <w:rFonts w:ascii="Times New Roman" w:hAnsi="Times New Roman"/>
          <w:b w:val="1"/>
          <w:sz w:val="28"/>
        </w:rPr>
        <w:t xml:space="preserve"> г. Буйнакска </w:t>
      </w:r>
      <w:r>
        <w:rPr>
          <w:rFonts w:ascii="Times New Roman" w:hAnsi="Times New Roman"/>
          <w:b w:val="1"/>
          <w:sz w:val="28"/>
        </w:rPr>
        <w:t>утверждено обвинительное заключение и направлено</w:t>
      </w:r>
      <w:r>
        <w:rPr>
          <w:rFonts w:ascii="Times New Roman" w:hAnsi="Times New Roman"/>
          <w:b w:val="1"/>
          <w:sz w:val="28"/>
        </w:rPr>
        <w:t xml:space="preserve"> в суд уголовное дело по п. «г» ч. 3 ст. 158 УК РФ.</w:t>
      </w:r>
    </w:p>
    <w:p w14:paraId="09000000">
      <w:pPr>
        <w:tabs>
          <w:tab w:leader="none" w:pos="709" w:val="left"/>
        </w:tabs>
        <w:spacing w:after="0" w:line="240" w:lineRule="auto"/>
        <w:ind w:firstLine="709" w:left="0"/>
        <w:jc w:val="both"/>
        <w:outlineLvl w:val="3"/>
        <w:rPr>
          <w:rFonts w:ascii="Times New Roman" w:hAnsi="Times New Roman"/>
          <w:sz w:val="28"/>
        </w:rPr>
      </w:pPr>
    </w:p>
    <w:p w14:paraId="0A000000">
      <w:pPr>
        <w:pStyle w:val="Style_4"/>
        <w:spacing w:after="0" w:before="0" w:line="180" w:lineRule="atLeast"/>
        <w:ind w:firstLine="709" w:left="0"/>
        <w:jc w:val="both"/>
        <w:rPr>
          <w:sz w:val="28"/>
        </w:rPr>
      </w:pPr>
      <w:r>
        <w:rPr>
          <w:sz w:val="28"/>
        </w:rPr>
        <w:t>П</w:t>
      </w:r>
      <w:r>
        <w:rPr>
          <w:sz w:val="28"/>
        </w:rPr>
        <w:t>рокуратурой города утверждено обвинительное заключение и для рассмотрения по существу направлено в Буйнакский городской</w:t>
      </w:r>
      <w:r>
        <w:rPr>
          <w:sz w:val="28"/>
        </w:rPr>
        <w:t xml:space="preserve"> </w:t>
      </w:r>
      <w:r>
        <w:rPr>
          <w:sz w:val="28"/>
        </w:rPr>
        <w:t xml:space="preserve">суд уголовное дело в отношении </w:t>
      </w:r>
      <w:r>
        <w:rPr>
          <w:sz w:val="28"/>
        </w:rPr>
        <w:t>местного жителя</w:t>
      </w:r>
      <w:r>
        <w:rPr>
          <w:sz w:val="28"/>
        </w:rPr>
        <w:t>, обвиняемого</w:t>
      </w:r>
      <w:r>
        <w:rPr>
          <w:sz w:val="28"/>
        </w:rPr>
        <w:t xml:space="preserve"> </w:t>
      </w:r>
      <w:r>
        <w:rPr>
          <w:sz w:val="28"/>
        </w:rPr>
        <w:t xml:space="preserve">в совершении преступления, предусмотренного п. «г» </w:t>
      </w:r>
      <w:r>
        <w:rPr>
          <w:spacing w:val="-1"/>
          <w:sz w:val="28"/>
        </w:rPr>
        <w:t xml:space="preserve">ч. 3 ст. 158 </w:t>
      </w:r>
      <w:r>
        <w:rPr>
          <w:spacing w:val="-1"/>
          <w:sz w:val="28"/>
        </w:rPr>
        <w:t>УК РФ</w:t>
      </w:r>
      <w:r>
        <w:rPr>
          <w:sz w:val="28"/>
        </w:rPr>
        <w:t xml:space="preserve"> </w:t>
      </w:r>
      <w:r>
        <w:rPr>
          <w:sz w:val="28"/>
        </w:rPr>
        <w:t>–</w:t>
      </w:r>
      <w:r>
        <w:rPr>
          <w:sz w:val="28"/>
        </w:rPr>
        <w:t xml:space="preserve"> кража, совершенная с банковского счета, а равно в отношении электронных денежных средств. </w:t>
      </w:r>
    </w:p>
    <w:p w14:paraId="0B000000">
      <w:pPr>
        <w:tabs>
          <w:tab w:leader="none" w:pos="709" w:val="left"/>
        </w:tabs>
        <w:spacing w:after="0" w:line="240" w:lineRule="auto"/>
        <w:ind w:firstLine="709" w:left="0"/>
        <w:jc w:val="both"/>
        <w:outlineLvl w:val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становлено</w:t>
      </w:r>
      <w:r>
        <w:rPr>
          <w:rFonts w:ascii="Times New Roman" w:hAnsi="Times New Roman"/>
          <w:sz w:val="28"/>
        </w:rPr>
        <w:t>, что</w:t>
      </w:r>
      <w:r>
        <w:rPr>
          <w:rFonts w:ascii="Times New Roman" w:hAnsi="Times New Roman"/>
          <w:sz w:val="28"/>
        </w:rPr>
        <w:t xml:space="preserve"> обвиняемый, имея доступ к мобильному приложению банка потерпевшей, к которому прикреплен ее банковский счет, совершил переводы денежных средств на общую сумму 29 500 руб. на другие банковские счета двумя платежами. </w:t>
      </w:r>
    </w:p>
    <w:p w14:paraId="0C000000">
      <w:pPr>
        <w:tabs>
          <w:tab w:leader="none" w:pos="709" w:val="left"/>
        </w:tabs>
        <w:spacing w:line="240" w:lineRule="auto"/>
        <w:ind w:firstLine="709" w:left="0"/>
        <w:jc w:val="both"/>
        <w:outlineLvl w:val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Санкцией инкриминируемой статьи предусмотрена уголовная ответственность в виде </w:t>
      </w:r>
      <w:r>
        <w:rPr>
          <w:rFonts w:ascii="Times New Roman" w:hAnsi="Times New Roman"/>
          <w:sz w:val="28"/>
        </w:rPr>
        <w:t>лишени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свободы на срок до шести</w:t>
      </w:r>
      <w:r>
        <w:rPr>
          <w:rFonts w:ascii="Times New Roman" w:hAnsi="Times New Roman"/>
          <w:sz w:val="28"/>
        </w:rPr>
        <w:t xml:space="preserve"> лет</w:t>
      </w:r>
      <w:r>
        <w:rPr>
          <w:rFonts w:ascii="Times New Roman" w:hAnsi="Times New Roman"/>
          <w:sz w:val="28"/>
        </w:rPr>
        <w:t>.</w:t>
      </w:r>
    </w:p>
    <w:p w14:paraId="0D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0E000000">
      <w:pPr>
        <w:tabs>
          <w:tab w:leader="none" w:pos="2268" w:val="left"/>
          <w:tab w:leader="none" w:pos="6804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Помощник прокурора города                                                          Б.У. Абдуллаева</w:t>
      </w:r>
    </w:p>
    <w:sectPr>
      <w:headerReference r:id="rId3" w:type="default"/>
      <w:headerReference r:id="rId1" w:type="first"/>
      <w:footerReference r:id="rId2" w:type="first"/>
      <w:pgSz w:h="16838" w:orient="portrait" w:w="11906"/>
      <w:pgMar w:bottom="851" w:footer="709" w:gutter="0" w:header="709" w:left="1418" w:right="851" w:top="1276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2"/>
      <w:tblpPr w:horzAnchor="margin" w:tblpXSpec="right" w:tblpYSpec="outside" w:vertAnchor="page"/>
      <w:tblW w:type="auto" w:w="0"/>
      <w:tblBorders>
        <w:top w:color="000000" w:sz="6" w:val="single"/>
        <w:left w:color="000000" w:sz="6" w:val="single"/>
        <w:bottom w:color="000000" w:sz="6" w:val="single"/>
        <w:right w:color="000000" w:sz="6" w:val="single"/>
        <w:insideH w:color="000000" w:sz="6" w:val="single"/>
        <w:insideV w:color="000000" w:sz="6" w:val="single"/>
      </w:tblBorders>
      <w:tblLayout w:type="fixed"/>
      <w:tblCellMar>
        <w:top w:type="dxa" w:w="28"/>
        <w:left w:type="dxa" w:w="28"/>
        <w:bottom w:type="dxa" w:w="28"/>
        <w:right w:type="dxa" w:w="28"/>
      </w:tblCellMar>
    </w:tblPr>
    <w:tblGrid>
      <w:gridCol w:w="3643"/>
    </w:tblGrid>
    <w:tr>
      <w:trPr>
        <w:trHeight w:hRule="atLeast" w:val="57"/>
      </w:trPr>
      <w:tc>
        <w:tcPr>
          <w:tcW w:type="dxa" w:w="3643"/>
          <w:tcBorders>
            <w:top w:color="000000" w:sz="6" w:val="single"/>
            <w:left w:color="000000" w:sz="6" w:val="single"/>
            <w:bottom w:color="000000" w:sz="6" w:val="single"/>
            <w:right w:color="000000" w:sz="6" w:val="single"/>
          </w:tcBorders>
          <w:tcMar>
            <w:top w:type="dxa" w:w="28"/>
            <w:left w:type="dxa" w:w="28"/>
            <w:bottom w:type="dxa" w:w="28"/>
            <w:right w:type="dxa" w:w="28"/>
          </w:tcMar>
        </w:tcPr>
        <w:p w14:paraId="03000000">
          <w:pPr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14:paraId="04000000">
          <w:pPr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r>
            <w:rPr>
              <w:rFonts w:ascii="Times New Roman" w:hAnsi="Times New Roman"/>
              <w:color w:themeColor="background1" w:themeShade="BF" w:val="BFBFBF"/>
              <w:sz w:val="16"/>
            </w:rPr>
            <w:t>рег.номер</w:t>
          </w:r>
          <w:bookmarkEnd w:id="2"/>
        </w:p>
      </w:tc>
    </w:tr>
  </w:tbl>
  <w:p w14:paraId="05000000">
    <w:pPr>
      <w:pStyle w:val="Style_3"/>
      <w:spacing w:after="60"/>
      <w:ind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ind/>
      <w:jc w:val="center"/>
    </w:pPr>
    <w:r>
      <w:t>2</w: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footnote reference"/>
    <w:basedOn w:val="Style_8"/>
    <w:link w:val="Style_7_ch"/>
    <w:rPr>
      <w:vertAlign w:val="superscript"/>
    </w:rPr>
  </w:style>
  <w:style w:styleId="Style_7_ch" w:type="character">
    <w:name w:val="footnote reference"/>
    <w:basedOn w:val="Style_8_ch"/>
    <w:link w:val="Style_7"/>
    <w:rPr>
      <w:vertAlign w:val="superscript"/>
    </w:rPr>
  </w:style>
  <w:style w:styleId="Style_9" w:type="paragraph">
    <w:name w:val="toc 4"/>
    <w:next w:val="Style_5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5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11" w:type="paragraph">
    <w:name w:val="toc 7"/>
    <w:next w:val="Style_5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5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No Spacing"/>
    <w:link w:val="Style_14_ch"/>
    <w:pPr>
      <w:spacing w:after="0" w:line="240" w:lineRule="auto"/>
      <w:ind/>
    </w:pPr>
  </w:style>
  <w:style w:styleId="Style_14_ch" w:type="character">
    <w:name w:val="No Spacing"/>
    <w:link w:val="Style_14"/>
  </w:style>
  <w:style w:styleId="Style_15" w:type="paragraph">
    <w:name w:val="toc 3"/>
    <w:next w:val="Style_5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Body Text"/>
    <w:basedOn w:val="Style_5"/>
    <w:link w:val="Style_16_ch"/>
    <w:pPr>
      <w:spacing w:after="120"/>
      <w:ind/>
    </w:pPr>
  </w:style>
  <w:style w:styleId="Style_16_ch" w:type="character">
    <w:name w:val="Body Text"/>
    <w:basedOn w:val="Style_5_ch"/>
    <w:link w:val="Style_16"/>
  </w:style>
  <w:style w:styleId="Style_17" w:type="paragraph">
    <w:name w:val="Balloon Text"/>
    <w:basedOn w:val="Style_5"/>
    <w:link w:val="Style_17_ch"/>
    <w:pPr>
      <w:spacing w:after="0" w:line="240" w:lineRule="auto"/>
      <w:ind/>
    </w:pPr>
    <w:rPr>
      <w:rFonts w:ascii="Segoe UI" w:hAnsi="Segoe UI"/>
      <w:sz w:val="18"/>
    </w:rPr>
  </w:style>
  <w:style w:styleId="Style_17_ch" w:type="character">
    <w:name w:val="Balloon Text"/>
    <w:basedOn w:val="Style_5_ch"/>
    <w:link w:val="Style_17"/>
    <w:rPr>
      <w:rFonts w:ascii="Segoe UI" w:hAnsi="Segoe UI"/>
      <w:sz w:val="18"/>
    </w:rPr>
  </w:style>
  <w:style w:styleId="Style_18" w:type="paragraph">
    <w:name w:val="heading 5"/>
    <w:next w:val="Style_5"/>
    <w:link w:val="Style_1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9" w:type="paragraph">
    <w:name w:val="heading 1"/>
    <w:next w:val="Style_5"/>
    <w:link w:val="Style_1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1" w:type="paragraph">
    <w:name w:val="header"/>
    <w:basedOn w:val="Style_5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5_ch"/>
    <w:link w:val="Style_1"/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basedOn w:val="Style_5"/>
    <w:link w:val="Style_21_ch"/>
    <w:pPr>
      <w:spacing w:after="0" w:line="240" w:lineRule="auto"/>
      <w:ind/>
    </w:pPr>
    <w:rPr>
      <w:sz w:val="20"/>
    </w:rPr>
  </w:style>
  <w:style w:styleId="Style_21_ch" w:type="character">
    <w:name w:val="Footnote"/>
    <w:basedOn w:val="Style_5_ch"/>
    <w:link w:val="Style_21"/>
    <w:rPr>
      <w:sz w:val="20"/>
    </w:rPr>
  </w:style>
  <w:style w:styleId="Style_22" w:type="paragraph">
    <w:name w:val="toc 1"/>
    <w:next w:val="Style_5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4" w:type="paragraph">
    <w:name w:val="Normal (Web)"/>
    <w:basedOn w:val="Style_5"/>
    <w:link w:val="Style_4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4_ch" w:type="character">
    <w:name w:val="Normal (Web)"/>
    <w:basedOn w:val="Style_5_ch"/>
    <w:link w:val="Style_4"/>
    <w:rPr>
      <w:rFonts w:ascii="Times New Roman" w:hAnsi="Times New Roman"/>
      <w:sz w:val="24"/>
    </w:rPr>
  </w:style>
  <w:style w:styleId="Style_24" w:type="paragraph">
    <w:name w:val="toc 9"/>
    <w:next w:val="Style_5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5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5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3" w:type="paragraph">
    <w:name w:val="footer"/>
    <w:basedOn w:val="Style_5"/>
    <w:link w:val="Style_3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3_ch" w:type="character">
    <w:name w:val="footer"/>
    <w:basedOn w:val="Style_5_ch"/>
    <w:link w:val="Style_3"/>
  </w:style>
  <w:style w:styleId="Style_27" w:type="paragraph">
    <w:name w:val="Subtitle"/>
    <w:next w:val="Style_5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5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5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5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styleId="Style_31" w:type="table">
    <w:name w:val="Table Grid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2025-12-12T13:30:19Z</dcterms:modified>
</cp:coreProperties>
</file>