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40" w:lineRule="exact"/>
        <w:ind w:right="0"/>
        <w:jc w:val="left"/>
        <w:rPr>
          <w:b w:val="1"/>
        </w:rPr>
      </w:pPr>
      <w:r>
        <w:rPr>
          <w:b w:val="1"/>
        </w:rPr>
        <w:tab/>
      </w:r>
      <w:r>
        <w:rPr>
          <w:b w:val="1"/>
        </w:rPr>
        <w:t>Прокуратурой города проведена проверка исполнения требований законодательства об антитеррористической защищенности</w:t>
      </w:r>
    </w:p>
    <w:p w14:paraId="02000000">
      <w:pPr>
        <w:spacing w:line="240" w:lineRule="exact"/>
        <w:ind w:right="6094"/>
        <w:jc w:val="both"/>
      </w:pPr>
    </w:p>
    <w:p w14:paraId="03000000">
      <w:pPr>
        <w:spacing w:line="240" w:lineRule="exact"/>
        <w:ind w:right="6094"/>
        <w:jc w:val="both"/>
      </w:pPr>
    </w:p>
    <w:p w14:paraId="04000000">
      <w:pPr>
        <w:ind w:firstLine="709" w:left="0" w:right="-14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г. Буйнакска в рамках надзорной деятельности </w:t>
      </w:r>
      <w:r>
        <w:rPr>
          <w:rFonts w:ascii="Times New Roman" w:hAnsi="Times New Roman"/>
          <w:sz w:val="28"/>
        </w:rPr>
        <w:t>с привлечением специалистов</w:t>
      </w:r>
      <w:r>
        <w:rPr>
          <w:rFonts w:ascii="Times New Roman" w:hAnsi="Times New Roman"/>
          <w:sz w:val="28"/>
        </w:rPr>
        <w:t xml:space="preserve"> МОВО по г. Буйнакску – филиала ФГКУ «УВО ВНГ России по Республике Дагестан»</w:t>
      </w:r>
      <w:r>
        <w:rPr>
          <w:rFonts w:ascii="Times New Roman" w:hAnsi="Times New Roman"/>
          <w:sz w:val="28"/>
        </w:rPr>
        <w:t xml:space="preserve"> проведена проверка исполнения требований законодательства по обеспечению антитеррор</w:t>
      </w:r>
      <w:r>
        <w:rPr>
          <w:rFonts w:ascii="Times New Roman" w:hAnsi="Times New Roman"/>
          <w:sz w:val="28"/>
        </w:rPr>
        <w:t>истической защищенности в Отделении почтовой связи  г. Буйнакска (далее - Отделение).</w:t>
      </w:r>
    </w:p>
    <w:p w14:paraId="05000000">
      <w:pPr>
        <w:ind w:firstLine="709" w:left="0" w:right="-14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Как установлено, в </w:t>
      </w:r>
      <w:r>
        <w:rPr>
          <w:rFonts w:ascii="Times New Roman" w:hAnsi="Times New Roman"/>
          <w:sz w:val="28"/>
        </w:rPr>
        <w:t xml:space="preserve"> нарушение требований</w:t>
      </w:r>
      <w:r>
        <w:rPr>
          <w:rFonts w:ascii="Times New Roman" w:hAnsi="Times New Roman"/>
          <w:sz w:val="28"/>
        </w:rPr>
        <w:t xml:space="preserve"> Постановления Правительства Российской Федерации от 08.06.2023 № 944 «Об утверждении требований к антитеррористической защищенности объектов (территорий) Министерства цифрового развития, связи и массовых коммуникаций Российской Федерации, Федеральной службы по надзору в сфере связи, информационных технологий и массовых коммуникаций и её территориальных органов, а также подведомственных и относящихся к их сфере деятельности организаций» в Отделении</w:t>
      </w:r>
      <w:r>
        <w:rPr>
          <w:rFonts w:ascii="Times New Roman" w:hAnsi="Times New Roman"/>
          <w:sz w:val="28"/>
        </w:rPr>
        <w:t xml:space="preserve"> не проведены мероприятия по обследованию, категорированию и паспортизации объекта.</w:t>
      </w:r>
    </w:p>
    <w:p w14:paraId="06000000">
      <w:pPr>
        <w:tabs>
          <w:tab w:leader="none" w:pos="708" w:val="left"/>
          <w:tab w:leader="none" w:pos="4153" w:val="center"/>
          <w:tab w:leader="none" w:pos="8306" w:val="right"/>
        </w:tabs>
        <w:spacing w:after="0" w:line="240" w:lineRule="auto"/>
        <w:ind w:firstLine="709" w:left="0" w:right="-1"/>
        <w:jc w:val="both"/>
      </w:pPr>
      <w:r>
        <w:t>Кроме того, в Отделении допускаются нарушения пр</w:t>
      </w:r>
      <w:r>
        <w:t>авил оказания услуг почтовой связи.</w:t>
      </w:r>
    </w:p>
    <w:p w14:paraId="07000000">
      <w:pPr>
        <w:tabs>
          <w:tab w:leader="none" w:pos="708" w:val="left"/>
          <w:tab w:leader="none" w:pos="4153" w:val="center"/>
          <w:tab w:leader="none" w:pos="8306" w:val="right"/>
        </w:tabs>
        <w:spacing w:after="0" w:line="240" w:lineRule="auto"/>
        <w:ind w:firstLine="709" w:left="0" w:right="-1"/>
        <w:jc w:val="both"/>
      </w:pPr>
      <w:r>
        <w:t xml:space="preserve">Так, в ходе проверки доводов, изложенных в </w:t>
      </w:r>
      <w:r>
        <w:t xml:space="preserve">обращений </w:t>
      </w:r>
      <w:r>
        <w:t>представителя ООО МКК «Срочноденьги» у</w:t>
      </w:r>
      <w:r>
        <w:t>становлено</w:t>
      </w:r>
      <w:r>
        <w:t>,</w:t>
      </w:r>
      <w:r>
        <w:t xml:space="preserve"> что </w:t>
      </w:r>
      <w:r>
        <w:t>почтальоном Отделения</w:t>
      </w:r>
      <w:r>
        <w:t xml:space="preserve"> </w:t>
      </w:r>
      <w:r>
        <w:t xml:space="preserve">доставка  </w:t>
      </w:r>
      <w:r>
        <w:t xml:space="preserve"> </w:t>
      </w:r>
      <w:r>
        <w:t>почтовых отправлений</w:t>
      </w:r>
      <w:r>
        <w:t xml:space="preserve"> </w:t>
      </w:r>
      <w:r>
        <w:t xml:space="preserve">в Отделение </w:t>
      </w:r>
      <w:r>
        <w:t>судебных приставов УФССП ПО РД по Буйнакску и Буйнакскому району своевременно не осуществлена, тем самым</w:t>
      </w:r>
      <w:r>
        <w:t xml:space="preserve"> качеств</w:t>
      </w:r>
      <w:r>
        <w:t>о</w:t>
      </w:r>
      <w:r>
        <w:t xml:space="preserve"> оказываемых услуг</w:t>
      </w:r>
      <w:r>
        <w:t xml:space="preserve"> не обеспечено.</w:t>
      </w:r>
    </w:p>
    <w:p w14:paraId="08000000">
      <w:pPr>
        <w:ind w:firstLine="708" w:left="0" w:right="-42"/>
        <w:jc w:val="both"/>
      </w:pPr>
      <w:r>
        <w:t xml:space="preserve">Указанные нарушения стали возможными вследствие ненадлежащего исполнения ответственными должностными лицами </w:t>
      </w:r>
      <w:r>
        <w:t xml:space="preserve"> своих</w:t>
      </w:r>
      <w:r>
        <w:t xml:space="preserve"> обязанностей, что повлекло нарушений прав заявителя</w:t>
      </w:r>
      <w:r>
        <w:t xml:space="preserve"> на своевременное исполнения решения суда и </w:t>
      </w:r>
      <w:r>
        <w:t>охраняемых законом прав граждан на безопасное пребывание в местах массового пребывания людей.</w:t>
      </w:r>
    </w:p>
    <w:p w14:paraId="09000000">
      <w:pPr>
        <w:ind w:firstLine="720" w:left="0" w:right="-42"/>
        <w:jc w:val="both"/>
      </w:pPr>
      <w:r>
        <w:t xml:space="preserve"> По результатам директору ФГУ Управления Федеральной почтовой связи Республики Дагестан 28.11.2025 внесено представление об устранении нарушений федерального законодательства.</w:t>
      </w:r>
    </w:p>
    <w:p w14:paraId="0A000000">
      <w:pPr>
        <w:ind w:firstLine="720" w:left="0" w:right="-42"/>
        <w:jc w:val="both"/>
      </w:pPr>
    </w:p>
    <w:p w14:paraId="0B000000">
      <w:pPr>
        <w:ind w:firstLine="720" w:left="0" w:right="-42"/>
        <w:jc w:val="both"/>
      </w:pPr>
      <w:r>
        <w:t>Помощник прокурора города                                  Абдулазизов М.М.</w:t>
      </w:r>
    </w:p>
    <w:p w14:paraId="0C000000">
      <w:pPr>
        <w:ind w:firstLine="720" w:left="0" w:right="-42"/>
        <w:jc w:val="both"/>
      </w:pPr>
    </w:p>
    <w:p w14:paraId="0D000000">
      <w:pPr>
        <w:ind w:firstLine="720" w:left="0" w:right="-42"/>
        <w:jc w:val="both"/>
      </w:pPr>
    </w:p>
    <w:p w14:paraId="0E000000">
      <w:pPr>
        <w:ind w:firstLine="720" w:left="0" w:right="-42"/>
        <w:jc w:val="both"/>
      </w:pPr>
    </w:p>
    <w:p w14:paraId="0F000000">
      <w:pPr>
        <w:ind w:firstLine="720" w:left="0" w:right="-42"/>
        <w:jc w:val="both"/>
        <w:rPr>
          <w:b w:val="1"/>
          <w:u w:val="single"/>
        </w:rPr>
      </w:pPr>
    </w:p>
    <w:p w14:paraId="10000000">
      <w:pPr>
        <w:ind w:firstLine="720" w:left="0" w:right="-42"/>
        <w:jc w:val="both"/>
        <w:rPr>
          <w:b w:val="1"/>
          <w:u w:val="single"/>
        </w:rPr>
      </w:pPr>
    </w:p>
    <w:p w14:paraId="11000000">
      <w:pPr>
        <w:ind w:firstLine="720" w:left="0" w:right="-42"/>
        <w:jc w:val="both"/>
        <w:rPr>
          <w:b w:val="1"/>
          <w:u w:val="single"/>
        </w:rPr>
      </w:pPr>
    </w:p>
    <w:p w14:paraId="12000000">
      <w:pPr>
        <w:ind w:firstLine="720" w:left="0" w:right="-42"/>
        <w:jc w:val="both"/>
        <w:rPr>
          <w:b w:val="1"/>
          <w:u w:val="single"/>
        </w:rPr>
      </w:pPr>
    </w:p>
    <w:p w14:paraId="13000000">
      <w:pPr>
        <w:ind w:firstLine="720" w:left="0" w:right="-42"/>
        <w:jc w:val="both"/>
        <w:rPr>
          <w:b w:val="1"/>
          <w:u w:val="single"/>
        </w:rPr>
      </w:pPr>
    </w:p>
    <w:p w14:paraId="14000000">
      <w:pPr>
        <w:ind w:firstLine="720" w:left="0" w:right="-42"/>
        <w:jc w:val="both"/>
        <w:rPr>
          <w:b w:val="1"/>
          <w:u w:val="single"/>
        </w:rPr>
      </w:pPr>
    </w:p>
    <w:p w14:paraId="15000000">
      <w:pPr>
        <w:ind w:firstLine="720" w:left="0" w:right="-42"/>
        <w:jc w:val="both"/>
        <w:rPr>
          <w:b w:val="1"/>
          <w:u w:val="single"/>
        </w:rPr>
      </w:pPr>
    </w:p>
    <w:sectPr>
      <w:pgSz w:h="16838" w:orient="portrait" w:w="11906"/>
      <w:pgMar w:bottom="1276" w:footer="708" w:gutter="0" w:header="708" w:left="1701" w:right="850" w:top="127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Normal (Web)"/>
    <w:basedOn w:val="Style_1"/>
    <w:link w:val="Style_8_ch"/>
    <w:pPr>
      <w:spacing w:afterAutospacing="on" w:beforeAutospacing="on"/>
      <w:ind/>
    </w:pPr>
    <w:rPr>
      <w:sz w:val="24"/>
    </w:rPr>
  </w:style>
  <w:style w:styleId="Style_8_ch" w:type="character">
    <w:name w:val="Normal (Web)"/>
    <w:basedOn w:val="Style_1_ch"/>
    <w:link w:val="Style_8"/>
    <w:rPr>
      <w:sz w:val="24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Balloon Text"/>
    <w:basedOn w:val="Style_1"/>
    <w:link w:val="Style_11_ch"/>
    <w:rPr>
      <w:rFonts w:ascii="Tahoma" w:hAnsi="Tahoma"/>
      <w:sz w:val="16"/>
    </w:rPr>
  </w:style>
  <w:style w:styleId="Style_11_ch" w:type="character">
    <w:name w:val="Balloon Text"/>
    <w:basedOn w:val="Style_1_ch"/>
    <w:link w:val="Style_11"/>
    <w:rPr>
      <w:rFonts w:ascii="Tahoma" w:hAnsi="Tahoma"/>
      <w:sz w:val="16"/>
    </w:rPr>
  </w:style>
  <w:style w:styleId="Style_12" w:type="paragraph">
    <w:name w:val="Неразрешенное упоминание"/>
    <w:link w:val="Style_12_ch"/>
    <w:rPr>
      <w:color w:val="605E5C"/>
      <w:shd w:fill="E1DFDD" w:val="clear"/>
    </w:rPr>
  </w:style>
  <w:style w:styleId="Style_12_ch" w:type="character">
    <w:name w:val="Неразрешенное упоминание"/>
    <w:link w:val="Style_12"/>
    <w:rPr>
      <w:color w:val="605E5C"/>
      <w:shd w:fill="E1DFDD" w:val="clear"/>
    </w:rPr>
  </w:style>
  <w:style w:styleId="Style_13" w:type="paragraph">
    <w:name w:val="heading 5"/>
    <w:next w:val="Style_1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Body Text Indent"/>
    <w:basedOn w:val="Style_1"/>
    <w:link w:val="Style_14_ch"/>
    <w:pPr>
      <w:spacing w:after="120"/>
      <w:ind w:firstLine="0" w:left="283"/>
    </w:pPr>
  </w:style>
  <w:style w:styleId="Style_14_ch" w:type="character">
    <w:name w:val="Body Text Indent"/>
    <w:basedOn w:val="Style_1_ch"/>
    <w:link w:val="Style_14"/>
  </w:style>
  <w:style w:styleId="Style_15" w:type="paragraph">
    <w:name w:val="heading 1"/>
    <w:next w:val="Style_1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footer"/>
    <w:basedOn w:val="Style_1"/>
    <w:link w:val="Style_16_ch"/>
    <w:pPr>
      <w:tabs>
        <w:tab w:leader="none" w:pos="4677" w:val="center"/>
        <w:tab w:leader="none" w:pos="9355" w:val="right"/>
      </w:tabs>
      <w:ind/>
    </w:pPr>
  </w:style>
  <w:style w:styleId="Style_16_ch" w:type="character">
    <w:name w:val="footer"/>
    <w:basedOn w:val="Style_1_ch"/>
    <w:link w:val="Style_16"/>
  </w:style>
  <w:style w:styleId="Style_17" w:type="paragraph">
    <w:name w:val="Hyperlink"/>
    <w:link w:val="Style_17_ch"/>
    <w:rPr>
      <w:color w:val="0563C1"/>
      <w:u w:val="single"/>
    </w:rPr>
  </w:style>
  <w:style w:styleId="Style_17_ch" w:type="character">
    <w:name w:val="Hyperlink"/>
    <w:link w:val="Style_17"/>
    <w:rPr>
      <w:color w:val="0563C1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1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header"/>
    <w:basedOn w:val="Style_1"/>
    <w:link w:val="Style_21_ch"/>
    <w:pPr>
      <w:tabs>
        <w:tab w:leader="none" w:pos="4677" w:val="center"/>
        <w:tab w:leader="none" w:pos="9355" w:val="right"/>
      </w:tabs>
      <w:ind/>
    </w:pPr>
  </w:style>
  <w:style w:styleId="Style_21_ch" w:type="character">
    <w:name w:val="header"/>
    <w:basedOn w:val="Style_1_ch"/>
    <w:link w:val="Style_21"/>
  </w:style>
  <w:style w:styleId="Style_22" w:type="paragraph">
    <w:name w:val="toc 9"/>
    <w:next w:val="Style_1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1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1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1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Body Text"/>
    <w:basedOn w:val="Style_1"/>
    <w:link w:val="Style_26_ch"/>
    <w:pPr>
      <w:spacing w:after="120"/>
      <w:ind/>
    </w:pPr>
  </w:style>
  <w:style w:styleId="Style_26_ch" w:type="character">
    <w:name w:val="Body Text"/>
    <w:basedOn w:val="Style_1_ch"/>
    <w:link w:val="Style_26"/>
  </w:style>
  <w:style w:styleId="Style_27" w:type="paragraph">
    <w:name w:val="Body Text Indent 2"/>
    <w:basedOn w:val="Style_1"/>
    <w:link w:val="Style_27_ch"/>
    <w:pPr>
      <w:ind w:firstLine="709" w:left="0"/>
      <w:jc w:val="both"/>
    </w:pPr>
    <w:rPr>
      <w:color w:val="000000"/>
    </w:rPr>
  </w:style>
  <w:style w:styleId="Style_27_ch" w:type="character">
    <w:name w:val="Body Text Indent 2"/>
    <w:basedOn w:val="Style_1_ch"/>
    <w:link w:val="Style_27"/>
    <w:rPr>
      <w:color w:val="000000"/>
    </w:rPr>
  </w:style>
  <w:style w:styleId="Style_28" w:type="paragraph">
    <w:name w:val="Title"/>
    <w:next w:val="Style_1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1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1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2025-12-02T15:22:55Z</dcterms:modified>
</cp:coreProperties>
</file>